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4B9E" w14:textId="77777777" w:rsidR="00A628C1" w:rsidRDefault="00A628C1" w:rsidP="00A628C1">
      <w:pPr>
        <w:pStyle w:val="Heading1"/>
        <w:spacing w:line="360" w:lineRule="auto"/>
        <w:ind w:left="129" w:right="148"/>
        <w:jc w:val="center"/>
      </w:pPr>
    </w:p>
    <w:p w14:paraId="1BE1DF95" w14:textId="06ED621B" w:rsidR="00A628C1" w:rsidRDefault="00A628C1" w:rsidP="00A628C1">
      <w:pPr>
        <w:pStyle w:val="Heading1"/>
        <w:spacing w:line="360" w:lineRule="auto"/>
        <w:ind w:left="129" w:right="148"/>
        <w:jc w:val="center"/>
      </w:pPr>
    </w:p>
    <w:p w14:paraId="346F051D" w14:textId="64584D9A" w:rsidR="00A628C1" w:rsidRDefault="00A628C1" w:rsidP="00A628C1">
      <w:pPr>
        <w:pStyle w:val="Heading1"/>
        <w:spacing w:line="360" w:lineRule="auto"/>
        <w:ind w:left="129" w:right="148"/>
        <w:jc w:val="center"/>
      </w:pPr>
    </w:p>
    <w:p w14:paraId="6103C389" w14:textId="5BD95696" w:rsidR="00A628C1" w:rsidRDefault="00A628C1" w:rsidP="00A628C1">
      <w:pPr>
        <w:pStyle w:val="Heading1"/>
        <w:spacing w:line="360" w:lineRule="auto"/>
        <w:ind w:left="129" w:right="148"/>
        <w:jc w:val="center"/>
      </w:pPr>
      <w:r>
        <w:rPr>
          <w:noProof/>
          <w:lang w:val="en-IN"/>
        </w:rPr>
        <w:drawing>
          <wp:anchor distT="0" distB="0" distL="114300" distR="114300" simplePos="0" relativeHeight="251659264" behindDoc="0" locked="0" layoutInCell="1" allowOverlap="1" wp14:anchorId="11C59A51" wp14:editId="2D861AD1">
            <wp:simplePos x="0" y="0"/>
            <wp:positionH relativeFrom="column">
              <wp:posOffset>1816100</wp:posOffset>
            </wp:positionH>
            <wp:positionV relativeFrom="paragraph">
              <wp:posOffset>27940</wp:posOffset>
            </wp:positionV>
            <wp:extent cx="2362200" cy="762000"/>
            <wp:effectExtent l="0" t="0" r="0" b="0"/>
            <wp:wrapNone/>
            <wp:docPr id="1023530780" name="Picture 1023530780" descr="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om"/>
                    <pic:cNvPicPr>
                      <a:picLocks noChangeAspect="1"/>
                    </pic:cNvPicPr>
                  </pic:nvPicPr>
                  <pic:blipFill>
                    <a:blip r:embed="rId8"/>
                    <a:srcRect b="50032"/>
                    <a:stretch>
                      <a:fillRect/>
                    </a:stretch>
                  </pic:blipFill>
                  <pic:spPr>
                    <a:xfrm>
                      <a:off x="0" y="0"/>
                      <a:ext cx="2362200" cy="762000"/>
                    </a:xfrm>
                    <a:prstGeom prst="rect">
                      <a:avLst/>
                    </a:prstGeom>
                  </pic:spPr>
                </pic:pic>
              </a:graphicData>
            </a:graphic>
            <wp14:sizeRelH relativeFrom="margin">
              <wp14:pctWidth>0</wp14:pctWidth>
            </wp14:sizeRelH>
            <wp14:sizeRelV relativeFrom="margin">
              <wp14:pctHeight>0</wp14:pctHeight>
            </wp14:sizeRelV>
          </wp:anchor>
        </w:drawing>
      </w:r>
    </w:p>
    <w:p w14:paraId="5AE8E698" w14:textId="77777777" w:rsidR="00A628C1" w:rsidRDefault="00A628C1" w:rsidP="00A628C1">
      <w:pPr>
        <w:pStyle w:val="Heading1"/>
        <w:spacing w:line="360" w:lineRule="auto"/>
        <w:ind w:left="129" w:right="148"/>
        <w:jc w:val="center"/>
      </w:pPr>
    </w:p>
    <w:p w14:paraId="0E9D9A96" w14:textId="77777777" w:rsidR="00A628C1" w:rsidRDefault="00A628C1" w:rsidP="00A628C1">
      <w:pPr>
        <w:pStyle w:val="Heading1"/>
        <w:spacing w:line="360" w:lineRule="auto"/>
        <w:ind w:left="129" w:right="148"/>
        <w:jc w:val="center"/>
        <w:rPr>
          <w:rFonts w:ascii="Times New Roman" w:hAnsi="Times New Roman" w:cs="Times New Roman"/>
          <w:sz w:val="40"/>
          <w:szCs w:val="40"/>
        </w:rPr>
      </w:pPr>
    </w:p>
    <w:p w14:paraId="6C8422D4" w14:textId="77777777" w:rsidR="00A628C1" w:rsidRDefault="00A628C1" w:rsidP="00A628C1">
      <w:pPr>
        <w:pStyle w:val="Heading1"/>
        <w:spacing w:line="360" w:lineRule="auto"/>
        <w:ind w:left="129" w:right="148"/>
        <w:jc w:val="center"/>
        <w:rPr>
          <w:rFonts w:ascii="Times New Roman" w:hAnsi="Times New Roman" w:cs="Times New Roman"/>
          <w:sz w:val="40"/>
          <w:szCs w:val="40"/>
        </w:rPr>
      </w:pPr>
    </w:p>
    <w:p w14:paraId="338ACC3A" w14:textId="4F403027" w:rsidR="00A628C1" w:rsidRPr="00A628C1" w:rsidRDefault="00A628C1" w:rsidP="00A628C1">
      <w:pPr>
        <w:pStyle w:val="Heading1"/>
        <w:spacing w:line="360" w:lineRule="auto"/>
        <w:ind w:left="129" w:right="148"/>
        <w:jc w:val="center"/>
        <w:rPr>
          <w:rFonts w:ascii="Times New Roman" w:hAnsi="Times New Roman" w:cs="Times New Roman"/>
          <w:sz w:val="40"/>
          <w:szCs w:val="40"/>
        </w:rPr>
      </w:pPr>
      <w:r w:rsidRPr="00A628C1">
        <w:rPr>
          <w:rFonts w:ascii="Times New Roman" w:hAnsi="Times New Roman" w:cs="Times New Roman"/>
          <w:sz w:val="40"/>
          <w:szCs w:val="40"/>
        </w:rPr>
        <w:t>TP Western Odisha Distribution Limited</w:t>
      </w:r>
    </w:p>
    <w:p w14:paraId="6EC9996B" w14:textId="77777777" w:rsidR="00A628C1" w:rsidRPr="00A628C1" w:rsidRDefault="00A628C1" w:rsidP="00A628C1">
      <w:pPr>
        <w:pStyle w:val="Heading1"/>
        <w:spacing w:line="360" w:lineRule="auto"/>
        <w:ind w:left="129" w:right="148"/>
        <w:jc w:val="center"/>
        <w:rPr>
          <w:rFonts w:ascii="Times New Roman" w:hAnsi="Times New Roman" w:cs="Times New Roman"/>
          <w:sz w:val="40"/>
          <w:szCs w:val="40"/>
        </w:rPr>
      </w:pPr>
    </w:p>
    <w:p w14:paraId="3D334751" w14:textId="77777777" w:rsidR="00A628C1" w:rsidRDefault="00A628C1" w:rsidP="00A628C1">
      <w:pPr>
        <w:pStyle w:val="Heading1"/>
        <w:spacing w:line="360" w:lineRule="auto"/>
        <w:ind w:left="129" w:right="148"/>
        <w:jc w:val="center"/>
        <w:rPr>
          <w:rFonts w:ascii="Times New Roman" w:hAnsi="Times New Roman" w:cs="Times New Roman"/>
          <w:sz w:val="40"/>
          <w:szCs w:val="40"/>
        </w:rPr>
      </w:pPr>
    </w:p>
    <w:p w14:paraId="2AE4200E" w14:textId="77777777" w:rsidR="00A628C1" w:rsidRDefault="00A628C1" w:rsidP="00A628C1">
      <w:pPr>
        <w:pStyle w:val="Heading1"/>
        <w:spacing w:line="360" w:lineRule="auto"/>
        <w:ind w:left="129" w:right="148"/>
        <w:jc w:val="center"/>
        <w:rPr>
          <w:rFonts w:ascii="Times New Roman" w:hAnsi="Times New Roman" w:cs="Times New Roman"/>
          <w:sz w:val="44"/>
          <w:szCs w:val="44"/>
        </w:rPr>
      </w:pPr>
      <w:r w:rsidRPr="00A628C1">
        <w:rPr>
          <w:rFonts w:ascii="Times New Roman" w:hAnsi="Times New Roman" w:cs="Times New Roman"/>
          <w:sz w:val="44"/>
          <w:szCs w:val="44"/>
        </w:rPr>
        <w:t>Open Access Charges</w:t>
      </w:r>
    </w:p>
    <w:p w14:paraId="00DD53B0" w14:textId="70E660A2" w:rsidR="00A628C1" w:rsidRPr="00A628C1" w:rsidRDefault="00A628C1" w:rsidP="00A628C1">
      <w:pPr>
        <w:pStyle w:val="Heading1"/>
        <w:spacing w:line="360" w:lineRule="auto"/>
        <w:ind w:left="129" w:right="148"/>
        <w:jc w:val="center"/>
        <w:rPr>
          <w:rFonts w:ascii="Times New Roman" w:hAnsi="Times New Roman" w:cs="Times New Roman"/>
          <w:sz w:val="44"/>
          <w:szCs w:val="44"/>
        </w:rPr>
      </w:pPr>
      <w:r>
        <w:rPr>
          <w:rFonts w:ascii="Times New Roman" w:hAnsi="Times New Roman" w:cs="Times New Roman"/>
          <w:sz w:val="44"/>
          <w:szCs w:val="44"/>
        </w:rPr>
        <w:t>Application</w:t>
      </w:r>
      <w:r w:rsidRPr="00A628C1">
        <w:rPr>
          <w:rFonts w:ascii="Times New Roman" w:hAnsi="Times New Roman" w:cs="Times New Roman"/>
          <w:sz w:val="44"/>
          <w:szCs w:val="44"/>
        </w:rPr>
        <w:t xml:space="preserve"> </w:t>
      </w:r>
    </w:p>
    <w:p w14:paraId="3DB72AA5" w14:textId="42097BC0" w:rsidR="00A628C1" w:rsidRPr="00A628C1" w:rsidRDefault="00A628C1" w:rsidP="00A628C1">
      <w:pPr>
        <w:pStyle w:val="Heading1"/>
        <w:spacing w:line="360" w:lineRule="auto"/>
        <w:ind w:left="129" w:right="148"/>
        <w:jc w:val="center"/>
        <w:rPr>
          <w:rFonts w:ascii="Times New Roman" w:hAnsi="Times New Roman" w:cs="Times New Roman"/>
          <w:sz w:val="44"/>
          <w:szCs w:val="44"/>
        </w:rPr>
      </w:pPr>
      <w:r w:rsidRPr="00A628C1">
        <w:rPr>
          <w:rFonts w:ascii="Times New Roman" w:hAnsi="Times New Roman" w:cs="Times New Roman"/>
          <w:sz w:val="44"/>
          <w:szCs w:val="44"/>
        </w:rPr>
        <w:t xml:space="preserve">for </w:t>
      </w:r>
    </w:p>
    <w:p w14:paraId="36EBE165" w14:textId="77777777" w:rsidR="00A628C1" w:rsidRPr="00A628C1" w:rsidRDefault="00A628C1" w:rsidP="00A628C1">
      <w:pPr>
        <w:pStyle w:val="Heading1"/>
        <w:spacing w:line="360" w:lineRule="auto"/>
        <w:ind w:left="129" w:right="148"/>
        <w:jc w:val="center"/>
        <w:rPr>
          <w:rFonts w:ascii="Times New Roman" w:hAnsi="Times New Roman" w:cs="Times New Roman"/>
          <w:sz w:val="44"/>
          <w:szCs w:val="44"/>
        </w:rPr>
      </w:pPr>
      <w:r w:rsidRPr="00A628C1">
        <w:rPr>
          <w:rFonts w:ascii="Times New Roman" w:hAnsi="Times New Roman" w:cs="Times New Roman"/>
          <w:sz w:val="44"/>
          <w:szCs w:val="44"/>
        </w:rPr>
        <w:t>FY 2024-25</w:t>
      </w:r>
    </w:p>
    <w:p w14:paraId="1232B749" w14:textId="77777777" w:rsidR="00A628C1" w:rsidRPr="00A628C1" w:rsidRDefault="00A628C1" w:rsidP="00A628C1">
      <w:pPr>
        <w:pStyle w:val="Heading1"/>
        <w:spacing w:line="360" w:lineRule="auto"/>
        <w:ind w:left="129" w:right="148"/>
        <w:jc w:val="center"/>
        <w:rPr>
          <w:rFonts w:ascii="Times New Roman" w:hAnsi="Times New Roman" w:cs="Times New Roman"/>
          <w:sz w:val="40"/>
          <w:szCs w:val="40"/>
        </w:rPr>
      </w:pPr>
    </w:p>
    <w:p w14:paraId="3A43B52D" w14:textId="77777777" w:rsidR="00A628C1" w:rsidRPr="00A628C1" w:rsidRDefault="00A628C1" w:rsidP="00A628C1">
      <w:pPr>
        <w:pStyle w:val="Heading1"/>
        <w:spacing w:line="360" w:lineRule="auto"/>
        <w:ind w:left="129" w:right="148"/>
        <w:jc w:val="center"/>
        <w:rPr>
          <w:rFonts w:ascii="Times New Roman" w:hAnsi="Times New Roman" w:cs="Times New Roman"/>
          <w:sz w:val="40"/>
          <w:szCs w:val="40"/>
        </w:rPr>
      </w:pPr>
    </w:p>
    <w:p w14:paraId="00BF21E6" w14:textId="77777777" w:rsidR="00A628C1" w:rsidRPr="00A628C1" w:rsidRDefault="00A628C1" w:rsidP="00A628C1">
      <w:pPr>
        <w:pStyle w:val="Heading1"/>
        <w:spacing w:line="360" w:lineRule="auto"/>
        <w:ind w:left="129" w:right="148"/>
        <w:jc w:val="center"/>
        <w:rPr>
          <w:rFonts w:ascii="Times New Roman" w:hAnsi="Times New Roman" w:cs="Times New Roman"/>
          <w:sz w:val="40"/>
          <w:szCs w:val="40"/>
        </w:rPr>
      </w:pPr>
    </w:p>
    <w:p w14:paraId="3F8419DF" w14:textId="77777777" w:rsidR="00A628C1" w:rsidRPr="00A628C1" w:rsidRDefault="00A628C1" w:rsidP="00A628C1">
      <w:pPr>
        <w:pStyle w:val="Heading1"/>
        <w:spacing w:line="360" w:lineRule="auto"/>
        <w:ind w:left="129" w:right="148"/>
        <w:jc w:val="center"/>
        <w:rPr>
          <w:rFonts w:ascii="Times New Roman" w:hAnsi="Times New Roman" w:cs="Times New Roman"/>
          <w:sz w:val="40"/>
          <w:szCs w:val="40"/>
        </w:rPr>
      </w:pPr>
    </w:p>
    <w:p w14:paraId="49E14506" w14:textId="77777777" w:rsidR="00A628C1" w:rsidRPr="00A628C1" w:rsidRDefault="00A628C1" w:rsidP="00A628C1">
      <w:pPr>
        <w:pStyle w:val="Heading1"/>
        <w:spacing w:line="360" w:lineRule="auto"/>
        <w:ind w:left="129" w:right="148"/>
        <w:jc w:val="center"/>
        <w:rPr>
          <w:rFonts w:ascii="Times New Roman" w:hAnsi="Times New Roman" w:cs="Times New Roman"/>
          <w:sz w:val="40"/>
          <w:szCs w:val="40"/>
        </w:rPr>
      </w:pPr>
      <w:r w:rsidRPr="00A628C1">
        <w:rPr>
          <w:rFonts w:ascii="Times New Roman" w:hAnsi="Times New Roman" w:cs="Times New Roman"/>
          <w:sz w:val="40"/>
          <w:szCs w:val="40"/>
        </w:rPr>
        <w:t>Nov-2023</w:t>
      </w:r>
    </w:p>
    <w:p w14:paraId="2CD64C87" w14:textId="77777777" w:rsidR="00A628C1" w:rsidRDefault="00A628C1" w:rsidP="00A628C1">
      <w:pPr>
        <w:pStyle w:val="Heading1"/>
        <w:spacing w:line="360" w:lineRule="auto"/>
        <w:ind w:left="129" w:right="148"/>
        <w:jc w:val="center"/>
        <w:rPr>
          <w:rFonts w:ascii="Times New Roman" w:hAnsi="Times New Roman" w:cs="Times New Roman"/>
          <w:sz w:val="40"/>
          <w:szCs w:val="40"/>
        </w:rPr>
      </w:pPr>
    </w:p>
    <w:p w14:paraId="04384B72" w14:textId="33E32A30" w:rsidR="00A628C1" w:rsidRPr="00A628C1" w:rsidRDefault="00A628C1" w:rsidP="00A628C1">
      <w:pPr>
        <w:pStyle w:val="Heading1"/>
        <w:spacing w:line="360" w:lineRule="auto"/>
        <w:ind w:left="129" w:right="148"/>
        <w:jc w:val="center"/>
        <w:rPr>
          <w:rFonts w:ascii="Times New Roman" w:hAnsi="Times New Roman" w:cs="Times New Roman"/>
          <w:sz w:val="40"/>
          <w:szCs w:val="40"/>
        </w:rPr>
      </w:pPr>
      <w:r w:rsidRPr="00A628C1">
        <w:rPr>
          <w:rFonts w:ascii="Times New Roman" w:hAnsi="Times New Roman" w:cs="Times New Roman"/>
          <w:sz w:val="40"/>
          <w:szCs w:val="40"/>
          <w:u w:val="single"/>
        </w:rPr>
        <w:t>CORPORATE OFFICE</w:t>
      </w:r>
      <w:r w:rsidRPr="00A628C1">
        <w:rPr>
          <w:rFonts w:ascii="Times New Roman" w:hAnsi="Times New Roman" w:cs="Times New Roman"/>
          <w:sz w:val="40"/>
          <w:szCs w:val="40"/>
        </w:rPr>
        <w:t>:</w:t>
      </w:r>
    </w:p>
    <w:p w14:paraId="7CB2879B" w14:textId="7EB30018" w:rsidR="002715D6" w:rsidRPr="00A628C1" w:rsidRDefault="00A628C1" w:rsidP="00A628C1">
      <w:pPr>
        <w:pStyle w:val="Heading1"/>
        <w:spacing w:line="360" w:lineRule="auto"/>
        <w:ind w:left="129" w:right="148"/>
        <w:jc w:val="center"/>
        <w:rPr>
          <w:rFonts w:ascii="Times New Roman" w:hAnsi="Times New Roman" w:cs="Times New Roman"/>
          <w:sz w:val="40"/>
          <w:szCs w:val="40"/>
        </w:rPr>
        <w:sectPr w:rsidR="002715D6" w:rsidRPr="00A628C1" w:rsidSect="00A628C1">
          <w:headerReference w:type="default" r:id="rId9"/>
          <w:footerReference w:type="default" r:id="rId10"/>
          <w:pgSz w:w="11910" w:h="16840"/>
          <w:pgMar w:top="1460" w:right="600" w:bottom="280" w:left="1580" w:header="720" w:footer="720" w:gutter="0"/>
          <w:pgBorders w:display="firstPage" w:offsetFrom="page">
            <w:top w:val="threeDEmboss" w:sz="24" w:space="24" w:color="1F3864" w:themeColor="accent1" w:themeShade="80"/>
            <w:left w:val="threeDEmboss" w:sz="24" w:space="24" w:color="1F3864" w:themeColor="accent1" w:themeShade="80"/>
            <w:bottom w:val="threeDEngrave" w:sz="24" w:space="24" w:color="1F3864" w:themeColor="accent1" w:themeShade="80"/>
            <w:right w:val="threeDEngrave" w:sz="24" w:space="24" w:color="1F3864" w:themeColor="accent1" w:themeShade="80"/>
          </w:pgBorders>
          <w:cols w:space="720"/>
        </w:sectPr>
      </w:pPr>
      <w:r w:rsidRPr="00A628C1">
        <w:rPr>
          <w:rFonts w:ascii="Times New Roman" w:hAnsi="Times New Roman" w:cs="Times New Roman"/>
          <w:sz w:val="40"/>
          <w:szCs w:val="40"/>
        </w:rPr>
        <w:t>Burla, Sambalpur, Odisha, Pin-768017</w:t>
      </w:r>
    </w:p>
    <w:p w14:paraId="4ED5C2F3" w14:textId="77777777" w:rsidR="00491DF1" w:rsidRDefault="00491DF1" w:rsidP="00491DF1">
      <w:pPr>
        <w:pStyle w:val="Heading1"/>
        <w:spacing w:line="360" w:lineRule="auto"/>
        <w:ind w:left="129" w:right="148"/>
        <w:jc w:val="center"/>
      </w:pPr>
      <w:r>
        <w:lastRenderedPageBreak/>
        <w:t>BEFORE THE ODISHA ELECTRICITY REGULATORY COMMISSION</w:t>
      </w:r>
    </w:p>
    <w:p w14:paraId="79A4BCEA" w14:textId="77777777" w:rsidR="00491DF1" w:rsidRDefault="00491DF1" w:rsidP="00491DF1">
      <w:pPr>
        <w:pStyle w:val="Heading1"/>
        <w:spacing w:line="360" w:lineRule="auto"/>
        <w:ind w:left="129" w:right="148"/>
        <w:jc w:val="center"/>
      </w:pPr>
      <w:r>
        <w:t>BHUBANESWAR</w:t>
      </w:r>
    </w:p>
    <w:p w14:paraId="3FF058A4" w14:textId="77777777" w:rsidR="00491DF1" w:rsidRDefault="00491DF1" w:rsidP="00491DF1">
      <w:pPr>
        <w:pStyle w:val="Heading1"/>
        <w:spacing w:line="360" w:lineRule="auto"/>
        <w:ind w:left="129" w:right="148"/>
        <w:jc w:val="left"/>
      </w:pPr>
    </w:p>
    <w:p w14:paraId="02855A55" w14:textId="77777777" w:rsidR="00491DF1" w:rsidRDefault="00491DF1" w:rsidP="00491DF1">
      <w:pPr>
        <w:pStyle w:val="Heading1"/>
        <w:spacing w:line="360" w:lineRule="auto"/>
        <w:ind w:left="129" w:right="148"/>
        <w:jc w:val="left"/>
      </w:pPr>
      <w:r>
        <w:t>IN THE MATTER OF</w:t>
      </w:r>
    </w:p>
    <w:p w14:paraId="50E71EAF" w14:textId="1B7DD94A" w:rsidR="00491DF1" w:rsidRPr="00503185" w:rsidRDefault="003273FC" w:rsidP="00A5573B">
      <w:pPr>
        <w:pStyle w:val="Heading1"/>
        <w:spacing w:line="360" w:lineRule="auto"/>
        <w:ind w:left="1418" w:right="148"/>
        <w:rPr>
          <w:b w:val="0"/>
          <w:bCs w:val="0"/>
        </w:rPr>
      </w:pPr>
      <w:r w:rsidRPr="002715D6">
        <w:t xml:space="preserve">An Application under sections 42, 64 (3) </w:t>
      </w:r>
      <w:r w:rsidR="00B90DF3" w:rsidRPr="002715D6">
        <w:t xml:space="preserve">and </w:t>
      </w:r>
      <w:r w:rsidRPr="002715D6">
        <w:t xml:space="preserve">86 (a) of the Electricity Act 2003, read with section 1.3 of OERC (Terms &amp; Conditions for Determination of Wheeling Tariff and Retail Supply tariff) Regulations, 2022 and all enabling provisions for determination of Wheeling Charges &amp; Surcharges applicable to the </w:t>
      </w:r>
      <w:bookmarkStart w:id="0" w:name="_Hlk151920537"/>
      <w:r w:rsidRPr="002715D6">
        <w:t xml:space="preserve">Distribution System User </w:t>
      </w:r>
      <w:r w:rsidR="0009426E" w:rsidRPr="002715D6">
        <w:t>&amp;</w:t>
      </w:r>
      <w:r w:rsidRPr="002715D6">
        <w:rPr>
          <w:b w:val="0"/>
          <w:bCs w:val="0"/>
        </w:rPr>
        <w:t xml:space="preserve"> </w:t>
      </w:r>
      <w:r w:rsidRPr="002715D6">
        <w:t xml:space="preserve">Open Access Consumers </w:t>
      </w:r>
      <w:bookmarkEnd w:id="0"/>
      <w:r w:rsidRPr="002715D6">
        <w:t>for use of intra-state transmission/ distribution system and associated facilities</w:t>
      </w:r>
      <w:r w:rsidRPr="002715D6">
        <w:rPr>
          <w:b w:val="0"/>
          <w:bCs w:val="0"/>
        </w:rPr>
        <w:t xml:space="preserve"> </w:t>
      </w:r>
      <w:r w:rsidRPr="002715D6">
        <w:t>for the financial year 2024-25.</w:t>
      </w:r>
    </w:p>
    <w:p w14:paraId="4D90F512" w14:textId="77777777" w:rsidR="00491DF1" w:rsidRDefault="00491DF1" w:rsidP="00491DF1">
      <w:pPr>
        <w:pStyle w:val="Heading1"/>
        <w:spacing w:line="360" w:lineRule="auto"/>
        <w:ind w:left="129" w:right="148"/>
      </w:pPr>
    </w:p>
    <w:p w14:paraId="4D1687AF" w14:textId="77777777" w:rsidR="00491DF1" w:rsidRDefault="00491DF1" w:rsidP="00491DF1">
      <w:pPr>
        <w:pStyle w:val="Heading1"/>
        <w:spacing w:line="360" w:lineRule="auto"/>
        <w:ind w:left="129" w:right="148"/>
        <w:jc w:val="center"/>
      </w:pPr>
      <w:r>
        <w:t>AND</w:t>
      </w:r>
    </w:p>
    <w:p w14:paraId="74601DBC" w14:textId="77777777" w:rsidR="00491DF1" w:rsidRDefault="00491DF1" w:rsidP="00491DF1">
      <w:pPr>
        <w:pStyle w:val="Heading1"/>
        <w:spacing w:line="360" w:lineRule="auto"/>
        <w:ind w:left="129" w:right="148"/>
        <w:jc w:val="left"/>
      </w:pPr>
      <w:r>
        <w:t>IN</w:t>
      </w:r>
      <w:r>
        <w:rPr>
          <w:spacing w:val="-5"/>
        </w:rPr>
        <w:t xml:space="preserve"> </w:t>
      </w:r>
      <w:r>
        <w:t>THE</w:t>
      </w:r>
      <w:r>
        <w:rPr>
          <w:spacing w:val="-6"/>
        </w:rPr>
        <w:t xml:space="preserve"> </w:t>
      </w:r>
      <w:r>
        <w:t>MATTER</w:t>
      </w:r>
      <w:r>
        <w:rPr>
          <w:spacing w:val="-5"/>
        </w:rPr>
        <w:t xml:space="preserve"> </w:t>
      </w:r>
      <w:r>
        <w:t>OF</w:t>
      </w:r>
    </w:p>
    <w:p w14:paraId="2661BB58" w14:textId="77777777" w:rsidR="00491DF1" w:rsidRDefault="00491DF1" w:rsidP="00491DF1">
      <w:pPr>
        <w:pStyle w:val="BodyText"/>
        <w:ind w:left="1418"/>
      </w:pPr>
      <w:r>
        <w:t>TP</w:t>
      </w:r>
      <w:r>
        <w:rPr>
          <w:spacing w:val="-2"/>
        </w:rPr>
        <w:t xml:space="preserve"> </w:t>
      </w:r>
      <w:r>
        <w:t>Western</w:t>
      </w:r>
      <w:r>
        <w:rPr>
          <w:spacing w:val="-2"/>
        </w:rPr>
        <w:t xml:space="preserve"> </w:t>
      </w:r>
      <w:r>
        <w:t>Odisha</w:t>
      </w:r>
      <w:r>
        <w:rPr>
          <w:spacing w:val="-2"/>
        </w:rPr>
        <w:t xml:space="preserve"> </w:t>
      </w:r>
      <w:r>
        <w:t>Distribution</w:t>
      </w:r>
      <w:r>
        <w:rPr>
          <w:spacing w:val="-2"/>
        </w:rPr>
        <w:t xml:space="preserve"> </w:t>
      </w:r>
      <w:r>
        <w:t>Ltd.</w:t>
      </w:r>
    </w:p>
    <w:p w14:paraId="0E5CF72A" w14:textId="77777777" w:rsidR="00491DF1" w:rsidRDefault="00491DF1" w:rsidP="00491DF1">
      <w:pPr>
        <w:pStyle w:val="BodyText"/>
        <w:spacing w:before="119" w:line="281" w:lineRule="exact"/>
        <w:ind w:left="1418"/>
      </w:pPr>
      <w:r>
        <w:t>Head</w:t>
      </w:r>
      <w:r>
        <w:rPr>
          <w:spacing w:val="-4"/>
        </w:rPr>
        <w:t xml:space="preserve"> </w:t>
      </w:r>
      <w:r>
        <w:t>Office</w:t>
      </w:r>
      <w:r>
        <w:rPr>
          <w:spacing w:val="-3"/>
        </w:rPr>
        <w:t xml:space="preserve"> </w:t>
      </w:r>
      <w:r>
        <w:t>Burla,</w:t>
      </w:r>
      <w:r>
        <w:rPr>
          <w:spacing w:val="-3"/>
        </w:rPr>
        <w:t xml:space="preserve"> </w:t>
      </w:r>
      <w:r>
        <w:t>Sambalpur,</w:t>
      </w:r>
      <w:r>
        <w:rPr>
          <w:spacing w:val="-3"/>
        </w:rPr>
        <w:t xml:space="preserve"> </w:t>
      </w:r>
      <w:r>
        <w:t>Odisha-768017.</w:t>
      </w:r>
    </w:p>
    <w:p w14:paraId="1F82B1B8" w14:textId="77777777" w:rsidR="00491DF1" w:rsidRDefault="00491DF1" w:rsidP="00491DF1">
      <w:pPr>
        <w:pStyle w:val="BodyText"/>
        <w:spacing w:line="281" w:lineRule="exact"/>
        <w:ind w:left="6237"/>
      </w:pPr>
      <w:r>
        <w:t>---------TPWODL</w:t>
      </w:r>
    </w:p>
    <w:p w14:paraId="73E8A0CE" w14:textId="77777777" w:rsidR="00491DF1" w:rsidRDefault="00491DF1" w:rsidP="00491DF1">
      <w:pPr>
        <w:pStyle w:val="Heading1"/>
        <w:spacing w:line="360" w:lineRule="auto"/>
        <w:ind w:left="129" w:right="148"/>
        <w:jc w:val="left"/>
      </w:pPr>
    </w:p>
    <w:p w14:paraId="3E6DEB2F" w14:textId="3CFE9C8A" w:rsidR="00491DF1" w:rsidRDefault="00491DF1" w:rsidP="00491DF1">
      <w:pPr>
        <w:pStyle w:val="Heading1"/>
        <w:spacing w:line="360" w:lineRule="auto"/>
        <w:ind w:left="129" w:right="148"/>
      </w:pPr>
      <w:r>
        <w:t xml:space="preserve">Affidavit verifying the application for approval of </w:t>
      </w:r>
      <w:r w:rsidR="00D06F86">
        <w:t>determination of</w:t>
      </w:r>
      <w:r w:rsidR="001875B8">
        <w:t xml:space="preserve"> </w:t>
      </w:r>
      <w:r>
        <w:t>Open Access Charges for the year FY</w:t>
      </w:r>
      <w:r>
        <w:rPr>
          <w:spacing w:val="-50"/>
        </w:rPr>
        <w:t xml:space="preserve"> </w:t>
      </w:r>
      <w:r w:rsidR="00051E01">
        <w:rPr>
          <w:spacing w:val="-50"/>
        </w:rPr>
        <w:t xml:space="preserve">                    </w:t>
      </w:r>
      <w:r>
        <w:t>202</w:t>
      </w:r>
      <w:r w:rsidR="00051E01">
        <w:t>4</w:t>
      </w:r>
      <w:r>
        <w:t>-2</w:t>
      </w:r>
      <w:r w:rsidR="00051E01">
        <w:t>5</w:t>
      </w:r>
      <w:r>
        <w:t>.</w:t>
      </w:r>
    </w:p>
    <w:p w14:paraId="19E436BA" w14:textId="76D7FC44" w:rsidR="00491DF1" w:rsidRPr="0023699F" w:rsidRDefault="00491DF1" w:rsidP="00491DF1">
      <w:pPr>
        <w:pStyle w:val="BodyText"/>
        <w:spacing w:before="120" w:after="120" w:line="360" w:lineRule="auto"/>
        <w:ind w:left="129" w:right="143"/>
        <w:jc w:val="both"/>
      </w:pPr>
      <w:r w:rsidRPr="0023699F">
        <w:t xml:space="preserve">I, </w:t>
      </w:r>
      <w:proofErr w:type="spellStart"/>
      <w:r w:rsidRPr="0023699F">
        <w:t>Kshirod</w:t>
      </w:r>
      <w:proofErr w:type="spellEnd"/>
      <w:r w:rsidRPr="0023699F">
        <w:t xml:space="preserve"> Chandra Nanda, Son of Late Radhanath Nanda, aged about 5</w:t>
      </w:r>
      <w:r w:rsidR="0098775D" w:rsidRPr="0023699F">
        <w:t>4</w:t>
      </w:r>
      <w:r w:rsidRPr="0023699F">
        <w:t xml:space="preserve"> years, residing at,</w:t>
      </w:r>
      <w:r w:rsidRPr="0023699F">
        <w:rPr>
          <w:spacing w:val="1"/>
        </w:rPr>
        <w:t xml:space="preserve"> </w:t>
      </w:r>
      <w:r w:rsidR="00F65F63">
        <w:rPr>
          <w:spacing w:val="1"/>
        </w:rPr>
        <w:t xml:space="preserve">Burla, </w:t>
      </w:r>
      <w:r w:rsidRPr="0023699F">
        <w:t>Sambalpur,</w:t>
      </w:r>
      <w:r w:rsidRPr="0023699F">
        <w:rPr>
          <w:spacing w:val="-1"/>
        </w:rPr>
        <w:t xml:space="preserve"> </w:t>
      </w:r>
      <w:r w:rsidRPr="0023699F">
        <w:t>do hereby</w:t>
      </w:r>
      <w:r w:rsidRPr="0023699F">
        <w:rPr>
          <w:spacing w:val="-1"/>
        </w:rPr>
        <w:t xml:space="preserve"> </w:t>
      </w:r>
      <w:r w:rsidRPr="0023699F">
        <w:t>solemnly</w:t>
      </w:r>
      <w:r w:rsidRPr="0023699F">
        <w:rPr>
          <w:spacing w:val="-3"/>
        </w:rPr>
        <w:t xml:space="preserve"> </w:t>
      </w:r>
      <w:r w:rsidRPr="0023699F">
        <w:t>affirm</w:t>
      </w:r>
      <w:r w:rsidRPr="0023699F">
        <w:rPr>
          <w:spacing w:val="-1"/>
        </w:rPr>
        <w:t xml:space="preserve"> </w:t>
      </w:r>
      <w:r w:rsidRPr="0023699F">
        <w:t>and state</w:t>
      </w:r>
      <w:r w:rsidRPr="0023699F">
        <w:rPr>
          <w:spacing w:val="-1"/>
        </w:rPr>
        <w:t xml:space="preserve"> </w:t>
      </w:r>
      <w:r w:rsidRPr="0023699F">
        <w:t>as</w:t>
      </w:r>
      <w:r w:rsidRPr="0023699F">
        <w:rPr>
          <w:spacing w:val="2"/>
        </w:rPr>
        <w:t xml:space="preserve"> </w:t>
      </w:r>
      <w:r w:rsidRPr="0023699F">
        <w:t>follows:</w:t>
      </w:r>
      <w:r w:rsidRPr="0023699F">
        <w:rPr>
          <w:spacing w:val="-1"/>
        </w:rPr>
        <w:t xml:space="preserve"> </w:t>
      </w:r>
      <w:r w:rsidRPr="0023699F">
        <w:t>-</w:t>
      </w:r>
    </w:p>
    <w:p w14:paraId="63145070" w14:textId="77777777" w:rsidR="00491DF1" w:rsidRPr="0023699F" w:rsidRDefault="00491DF1" w:rsidP="00491DF1">
      <w:pPr>
        <w:pStyle w:val="BodyText"/>
        <w:spacing w:before="120" w:after="120" w:line="360" w:lineRule="auto"/>
        <w:ind w:left="129" w:right="146"/>
        <w:jc w:val="both"/>
      </w:pPr>
      <w:r w:rsidRPr="0023699F">
        <w:t>I</w:t>
      </w:r>
      <w:r w:rsidRPr="0023699F">
        <w:rPr>
          <w:spacing w:val="1"/>
        </w:rPr>
        <w:t xml:space="preserve"> </w:t>
      </w:r>
      <w:r w:rsidRPr="0023699F">
        <w:t>am</w:t>
      </w:r>
      <w:r w:rsidRPr="0023699F">
        <w:rPr>
          <w:spacing w:val="1"/>
        </w:rPr>
        <w:t xml:space="preserve"> </w:t>
      </w:r>
      <w:r w:rsidRPr="0023699F">
        <w:t>the</w:t>
      </w:r>
      <w:r w:rsidRPr="0023699F">
        <w:rPr>
          <w:spacing w:val="1"/>
        </w:rPr>
        <w:t xml:space="preserve"> </w:t>
      </w:r>
      <w:r w:rsidRPr="0023699F">
        <w:t>General</w:t>
      </w:r>
      <w:r w:rsidRPr="0023699F">
        <w:rPr>
          <w:spacing w:val="1"/>
        </w:rPr>
        <w:t xml:space="preserve"> </w:t>
      </w:r>
      <w:r w:rsidRPr="0023699F">
        <w:t>Manager</w:t>
      </w:r>
      <w:r w:rsidRPr="0023699F">
        <w:rPr>
          <w:spacing w:val="1"/>
        </w:rPr>
        <w:t xml:space="preserve"> </w:t>
      </w:r>
      <w:r w:rsidRPr="0023699F">
        <w:t>(RA</w:t>
      </w:r>
      <w:r w:rsidRPr="0023699F">
        <w:rPr>
          <w:spacing w:val="1"/>
        </w:rPr>
        <w:t xml:space="preserve"> </w:t>
      </w:r>
      <w:r w:rsidRPr="0023699F">
        <w:t>&amp;</w:t>
      </w:r>
      <w:r w:rsidRPr="0023699F">
        <w:rPr>
          <w:spacing w:val="1"/>
        </w:rPr>
        <w:t xml:space="preserve"> </w:t>
      </w:r>
      <w:r w:rsidRPr="0023699F">
        <w:t>Strategy)</w:t>
      </w:r>
      <w:r w:rsidRPr="0023699F">
        <w:rPr>
          <w:spacing w:val="1"/>
        </w:rPr>
        <w:t xml:space="preserve"> </w:t>
      </w:r>
      <w:r w:rsidRPr="0023699F">
        <w:t>of</w:t>
      </w:r>
      <w:r w:rsidRPr="0023699F">
        <w:rPr>
          <w:spacing w:val="1"/>
        </w:rPr>
        <w:t xml:space="preserve"> </w:t>
      </w:r>
      <w:r w:rsidRPr="0023699F">
        <w:t>TP</w:t>
      </w:r>
      <w:r w:rsidRPr="0023699F">
        <w:rPr>
          <w:spacing w:val="1"/>
        </w:rPr>
        <w:t xml:space="preserve"> </w:t>
      </w:r>
      <w:r w:rsidRPr="0023699F">
        <w:t>Western</w:t>
      </w:r>
      <w:r w:rsidRPr="0023699F">
        <w:rPr>
          <w:spacing w:val="1"/>
        </w:rPr>
        <w:t xml:space="preserve"> </w:t>
      </w:r>
      <w:r w:rsidRPr="0023699F">
        <w:t>Odisha</w:t>
      </w:r>
      <w:r w:rsidRPr="0023699F">
        <w:rPr>
          <w:spacing w:val="1"/>
        </w:rPr>
        <w:t xml:space="preserve"> </w:t>
      </w:r>
      <w:r w:rsidRPr="0023699F">
        <w:t>Distribution</w:t>
      </w:r>
      <w:r w:rsidRPr="0023699F">
        <w:rPr>
          <w:spacing w:val="1"/>
        </w:rPr>
        <w:t xml:space="preserve"> </w:t>
      </w:r>
      <w:r w:rsidRPr="0023699F">
        <w:t>Ltd.</w:t>
      </w:r>
      <w:r w:rsidRPr="0023699F">
        <w:rPr>
          <w:spacing w:val="1"/>
        </w:rPr>
        <w:t xml:space="preserve"> </w:t>
      </w:r>
      <w:r w:rsidRPr="0023699F">
        <w:t>(TPWODL), Corporate</w:t>
      </w:r>
      <w:r w:rsidRPr="0023699F">
        <w:rPr>
          <w:spacing w:val="3"/>
        </w:rPr>
        <w:t xml:space="preserve"> </w:t>
      </w:r>
      <w:r w:rsidRPr="0023699F">
        <w:t>Office-Burla,</w:t>
      </w:r>
      <w:r w:rsidRPr="0023699F">
        <w:rPr>
          <w:spacing w:val="1"/>
        </w:rPr>
        <w:t xml:space="preserve"> </w:t>
      </w:r>
      <w:r w:rsidRPr="0023699F">
        <w:t>Sambalpur, Odisha-768017.</w:t>
      </w:r>
    </w:p>
    <w:p w14:paraId="1D5ED4D9" w14:textId="1BEC9901" w:rsidR="00491DF1" w:rsidRPr="0023699F" w:rsidRDefault="002715D6" w:rsidP="00491DF1">
      <w:pPr>
        <w:pStyle w:val="BodyText"/>
        <w:spacing w:before="120" w:after="120" w:line="360" w:lineRule="auto"/>
        <w:ind w:left="129" w:right="147"/>
        <w:jc w:val="both"/>
      </w:pPr>
      <w:r w:rsidRPr="0023699F">
        <w:t>I</w:t>
      </w:r>
      <w:r w:rsidR="00491DF1" w:rsidRPr="0023699F">
        <w:t xml:space="preserve"> am</w:t>
      </w:r>
      <w:r w:rsidR="00491DF1" w:rsidRPr="0023699F">
        <w:rPr>
          <w:spacing w:val="1"/>
        </w:rPr>
        <w:t xml:space="preserve"> </w:t>
      </w:r>
      <w:proofErr w:type="gramStart"/>
      <w:r w:rsidR="00491DF1" w:rsidRPr="0023699F">
        <w:t>authorized</w:t>
      </w:r>
      <w:proofErr w:type="gramEnd"/>
      <w:r w:rsidR="00491DF1" w:rsidRPr="0023699F">
        <w:t xml:space="preserve"> representative of TPWODL,</w:t>
      </w:r>
      <w:r w:rsidR="00491DF1" w:rsidRPr="0023699F">
        <w:rPr>
          <w:spacing w:val="1"/>
        </w:rPr>
        <w:t xml:space="preserve"> </w:t>
      </w:r>
      <w:r w:rsidR="00491DF1" w:rsidRPr="0023699F">
        <w:t>the</w:t>
      </w:r>
      <w:r w:rsidR="00491DF1" w:rsidRPr="0023699F">
        <w:rPr>
          <w:spacing w:val="1"/>
        </w:rPr>
        <w:t xml:space="preserve"> </w:t>
      </w:r>
      <w:r w:rsidR="00491DF1" w:rsidRPr="0023699F">
        <w:t>applicant in the</w:t>
      </w:r>
      <w:r w:rsidR="00491DF1" w:rsidRPr="0023699F">
        <w:rPr>
          <w:spacing w:val="1"/>
        </w:rPr>
        <w:t xml:space="preserve"> </w:t>
      </w:r>
      <w:r w:rsidR="00491DF1" w:rsidRPr="0023699F">
        <w:t>instant</w:t>
      </w:r>
      <w:r w:rsidR="00491DF1" w:rsidRPr="0023699F">
        <w:rPr>
          <w:spacing w:val="1"/>
        </w:rPr>
        <w:t xml:space="preserve"> </w:t>
      </w:r>
      <w:r w:rsidR="00491DF1" w:rsidRPr="0023699F">
        <w:t>case</w:t>
      </w:r>
      <w:r w:rsidR="00491DF1" w:rsidRPr="0023699F">
        <w:rPr>
          <w:spacing w:val="1"/>
        </w:rPr>
        <w:t xml:space="preserve"> </w:t>
      </w:r>
      <w:r w:rsidR="00491DF1" w:rsidRPr="0023699F">
        <w:t>and</w:t>
      </w:r>
      <w:r w:rsidR="00491DF1" w:rsidRPr="0023699F">
        <w:rPr>
          <w:spacing w:val="1"/>
        </w:rPr>
        <w:t xml:space="preserve"> </w:t>
      </w:r>
      <w:r w:rsidR="00491DF1" w:rsidRPr="0023699F">
        <w:t>competent</w:t>
      </w:r>
      <w:r w:rsidR="00491DF1" w:rsidRPr="0023699F">
        <w:rPr>
          <w:spacing w:val="-2"/>
        </w:rPr>
        <w:t xml:space="preserve"> </w:t>
      </w:r>
      <w:r w:rsidR="00491DF1" w:rsidRPr="0023699F">
        <w:t>to swear</w:t>
      </w:r>
      <w:r w:rsidR="00491DF1" w:rsidRPr="0023699F">
        <w:rPr>
          <w:spacing w:val="-1"/>
        </w:rPr>
        <w:t xml:space="preserve"> </w:t>
      </w:r>
      <w:r w:rsidR="00491DF1" w:rsidRPr="0023699F">
        <w:t>this</w:t>
      </w:r>
      <w:r w:rsidR="00491DF1" w:rsidRPr="0023699F">
        <w:rPr>
          <w:spacing w:val="-1"/>
        </w:rPr>
        <w:t xml:space="preserve"> </w:t>
      </w:r>
      <w:r w:rsidR="00491DF1" w:rsidRPr="0023699F">
        <w:t>affidavit</w:t>
      </w:r>
      <w:r w:rsidR="00491DF1" w:rsidRPr="0023699F">
        <w:rPr>
          <w:spacing w:val="-1"/>
        </w:rPr>
        <w:t xml:space="preserve"> </w:t>
      </w:r>
      <w:r w:rsidR="00491DF1" w:rsidRPr="0023699F">
        <w:t>for</w:t>
      </w:r>
      <w:r w:rsidR="00491DF1" w:rsidRPr="0023699F">
        <w:rPr>
          <w:spacing w:val="-2"/>
        </w:rPr>
        <w:t xml:space="preserve"> </w:t>
      </w:r>
      <w:r w:rsidR="00491DF1" w:rsidRPr="0023699F">
        <w:t>and</w:t>
      </w:r>
      <w:r w:rsidR="00491DF1" w:rsidRPr="0023699F">
        <w:rPr>
          <w:spacing w:val="1"/>
        </w:rPr>
        <w:t xml:space="preserve"> </w:t>
      </w:r>
      <w:r w:rsidR="00491DF1" w:rsidRPr="0023699F">
        <w:t>on</w:t>
      </w:r>
      <w:r w:rsidR="00491DF1" w:rsidRPr="0023699F">
        <w:rPr>
          <w:spacing w:val="-1"/>
        </w:rPr>
        <w:t xml:space="preserve"> </w:t>
      </w:r>
      <w:r w:rsidR="00491DF1" w:rsidRPr="0023699F">
        <w:t>behalf</w:t>
      </w:r>
      <w:r w:rsidR="00491DF1" w:rsidRPr="0023699F">
        <w:rPr>
          <w:spacing w:val="-1"/>
        </w:rPr>
        <w:t xml:space="preserve"> </w:t>
      </w:r>
      <w:r w:rsidR="00491DF1" w:rsidRPr="0023699F">
        <w:t>of</w:t>
      </w:r>
      <w:r w:rsidR="00491DF1" w:rsidRPr="0023699F">
        <w:rPr>
          <w:spacing w:val="-1"/>
        </w:rPr>
        <w:t xml:space="preserve"> </w:t>
      </w:r>
      <w:r w:rsidR="00491DF1" w:rsidRPr="0023699F">
        <w:t>the</w:t>
      </w:r>
      <w:r w:rsidR="00491DF1" w:rsidRPr="0023699F">
        <w:rPr>
          <w:spacing w:val="-2"/>
        </w:rPr>
        <w:t xml:space="preserve"> </w:t>
      </w:r>
      <w:r w:rsidR="00491DF1" w:rsidRPr="0023699F">
        <w:t>licensee.</w:t>
      </w:r>
    </w:p>
    <w:p w14:paraId="5A183B7B" w14:textId="4F5E5700" w:rsidR="00491DF1" w:rsidRDefault="00491DF1" w:rsidP="00491DF1">
      <w:pPr>
        <w:pStyle w:val="BodyText"/>
        <w:spacing w:before="120" w:after="120" w:line="360" w:lineRule="auto"/>
        <w:ind w:left="129" w:right="146"/>
        <w:jc w:val="both"/>
      </w:pPr>
      <w:r w:rsidRPr="0023699F">
        <w:t>The statements made above along with the annexures annexed</w:t>
      </w:r>
      <w:r w:rsidRPr="0023699F">
        <w:rPr>
          <w:spacing w:val="52"/>
        </w:rPr>
        <w:t xml:space="preserve"> </w:t>
      </w:r>
      <w:r w:rsidRPr="0023699F">
        <w:t>to this application are true</w:t>
      </w:r>
      <w:r w:rsidRPr="0023699F">
        <w:rPr>
          <w:spacing w:val="1"/>
        </w:rPr>
        <w:t xml:space="preserve"> </w:t>
      </w:r>
      <w:r w:rsidRPr="0023699F">
        <w:t>to the best of my knowledge and the statements made are based on information and records</w:t>
      </w:r>
      <w:r w:rsidRPr="0023699F">
        <w:rPr>
          <w:spacing w:val="-50"/>
        </w:rPr>
        <w:t xml:space="preserve"> </w:t>
      </w:r>
      <w:r w:rsidRPr="0023699F">
        <w:t>and</w:t>
      </w:r>
      <w:r w:rsidRPr="0023699F">
        <w:rPr>
          <w:spacing w:val="-1"/>
        </w:rPr>
        <w:t xml:space="preserve"> </w:t>
      </w:r>
      <w:r w:rsidRPr="0023699F">
        <w:t>I</w:t>
      </w:r>
      <w:r w:rsidRPr="0023699F">
        <w:rPr>
          <w:spacing w:val="-2"/>
        </w:rPr>
        <w:t xml:space="preserve"> </w:t>
      </w:r>
      <w:r w:rsidRPr="0023699F">
        <w:t>believe them</w:t>
      </w:r>
      <w:r w:rsidRPr="0023699F">
        <w:rPr>
          <w:spacing w:val="-1"/>
        </w:rPr>
        <w:t xml:space="preserve"> </w:t>
      </w:r>
      <w:r w:rsidRPr="0023699F">
        <w:t>to be</w:t>
      </w:r>
      <w:r w:rsidRPr="0023699F">
        <w:rPr>
          <w:spacing w:val="-2"/>
        </w:rPr>
        <w:t xml:space="preserve"> </w:t>
      </w:r>
      <w:r w:rsidRPr="0023699F">
        <w:t>true.</w:t>
      </w:r>
    </w:p>
    <w:p w14:paraId="6EAED5CB" w14:textId="77777777" w:rsidR="00491DF1" w:rsidRDefault="00491DF1" w:rsidP="00491DF1">
      <w:pPr>
        <w:pStyle w:val="BodyText"/>
        <w:spacing w:before="121"/>
        <w:ind w:left="129"/>
      </w:pPr>
      <w:r>
        <w:t>Place</w:t>
      </w:r>
    </w:p>
    <w:p w14:paraId="444CAD1B" w14:textId="77777777" w:rsidR="00491DF1" w:rsidRDefault="00491DF1" w:rsidP="00491DF1">
      <w:pPr>
        <w:tabs>
          <w:tab w:val="left" w:pos="6509"/>
        </w:tabs>
        <w:spacing w:before="239"/>
        <w:ind w:left="129"/>
        <w:rPr>
          <w:b/>
          <w:sz w:val="24"/>
        </w:rPr>
      </w:pPr>
      <w:r>
        <w:rPr>
          <w:sz w:val="24"/>
        </w:rPr>
        <w:t>Date</w:t>
      </w:r>
      <w:r>
        <w:rPr>
          <w:sz w:val="24"/>
        </w:rPr>
        <w:tab/>
      </w:r>
      <w:r>
        <w:rPr>
          <w:b/>
          <w:sz w:val="24"/>
        </w:rPr>
        <w:t>DEPONENT</w:t>
      </w:r>
    </w:p>
    <w:p w14:paraId="4C99AF10" w14:textId="77777777" w:rsidR="00491DF1" w:rsidRDefault="00491DF1" w:rsidP="00491DF1">
      <w:pPr>
        <w:pStyle w:val="Heading1"/>
        <w:spacing w:before="120"/>
        <w:ind w:left="5367"/>
        <w:jc w:val="left"/>
      </w:pPr>
      <w:r>
        <w:t>GM</w:t>
      </w:r>
      <w:r>
        <w:rPr>
          <w:spacing w:val="-2"/>
        </w:rPr>
        <w:t xml:space="preserve"> </w:t>
      </w:r>
      <w:r>
        <w:t>(RA</w:t>
      </w:r>
      <w:r>
        <w:rPr>
          <w:spacing w:val="-2"/>
        </w:rPr>
        <w:t xml:space="preserve"> </w:t>
      </w:r>
      <w:r>
        <w:t>&amp;</w:t>
      </w:r>
      <w:r>
        <w:rPr>
          <w:spacing w:val="-2"/>
        </w:rPr>
        <w:t xml:space="preserve"> </w:t>
      </w:r>
      <w:r>
        <w:t>Strategy),</w:t>
      </w:r>
      <w:r>
        <w:rPr>
          <w:spacing w:val="-4"/>
        </w:rPr>
        <w:t xml:space="preserve"> </w:t>
      </w:r>
      <w:r>
        <w:t>TPWODL</w:t>
      </w:r>
    </w:p>
    <w:p w14:paraId="7608E8BE" w14:textId="77777777" w:rsidR="00491DF1" w:rsidRDefault="00491DF1" w:rsidP="00ED143D">
      <w:pPr>
        <w:spacing w:before="86" w:line="583" w:lineRule="auto"/>
        <w:ind w:left="4041" w:right="1678" w:hanging="2370"/>
        <w:rPr>
          <w:b/>
          <w:sz w:val="24"/>
          <w:szCs w:val="24"/>
        </w:rPr>
        <w:sectPr w:rsidR="00491DF1" w:rsidSect="00503185">
          <w:pgSz w:w="11910" w:h="16840"/>
          <w:pgMar w:top="1460" w:right="600" w:bottom="280" w:left="1580" w:header="720" w:footer="720" w:gutter="0"/>
          <w:cols w:space="720"/>
        </w:sectPr>
      </w:pPr>
    </w:p>
    <w:p w14:paraId="705DEA81" w14:textId="77777777" w:rsidR="00ED143D" w:rsidRDefault="00ED143D" w:rsidP="00ED143D">
      <w:pPr>
        <w:rPr>
          <w:sz w:val="24"/>
          <w:szCs w:val="24"/>
        </w:rPr>
      </w:pPr>
    </w:p>
    <w:p w14:paraId="527F45DD" w14:textId="77777777" w:rsidR="007E6A21" w:rsidRDefault="007E6A21" w:rsidP="00ED143D">
      <w:pPr>
        <w:rPr>
          <w:sz w:val="24"/>
          <w:szCs w:val="24"/>
        </w:rPr>
      </w:pPr>
    </w:p>
    <w:p w14:paraId="67E7C70F" w14:textId="6510D9C5" w:rsidR="007E6A21" w:rsidRPr="0044228C" w:rsidRDefault="007E6A21" w:rsidP="00ED143D">
      <w:pPr>
        <w:rPr>
          <w:sz w:val="24"/>
          <w:szCs w:val="24"/>
        </w:rPr>
        <w:sectPr w:rsidR="007E6A21" w:rsidRPr="0044228C" w:rsidSect="00503185">
          <w:headerReference w:type="default" r:id="rId11"/>
          <w:footerReference w:type="default" r:id="rId12"/>
          <w:type w:val="continuous"/>
          <w:pgSz w:w="11910" w:h="16840"/>
          <w:pgMar w:top="1460" w:right="600" w:bottom="280" w:left="1580" w:header="720" w:footer="720" w:gutter="0"/>
          <w:cols w:num="3" w:space="720" w:equalWidth="0">
            <w:col w:w="2127" w:space="125"/>
            <w:col w:w="4522" w:space="519"/>
            <w:col w:w="2437"/>
          </w:cols>
        </w:sectPr>
      </w:pPr>
    </w:p>
    <w:p w14:paraId="41CC6C02" w14:textId="77777777" w:rsidR="00ED143D" w:rsidRPr="0044228C" w:rsidRDefault="00ED143D" w:rsidP="00ED143D">
      <w:pPr>
        <w:pStyle w:val="BodyText"/>
        <w:spacing w:before="8"/>
        <w:rPr>
          <w:sz w:val="18"/>
          <w:szCs w:val="28"/>
        </w:rPr>
      </w:pPr>
    </w:p>
    <w:p w14:paraId="1DFEC978" w14:textId="77A694B0" w:rsidR="007E6A21" w:rsidRPr="007E6A21" w:rsidRDefault="007E6A21" w:rsidP="007E6A21">
      <w:pPr>
        <w:spacing w:before="101"/>
        <w:ind w:left="220" w:right="143"/>
        <w:jc w:val="center"/>
        <w:rPr>
          <w:b/>
          <w:sz w:val="24"/>
          <w:szCs w:val="24"/>
        </w:rPr>
      </w:pPr>
      <w:r w:rsidRPr="007E6A21">
        <w:rPr>
          <w:b/>
          <w:sz w:val="24"/>
          <w:szCs w:val="24"/>
        </w:rPr>
        <w:t>BEFORE THE ODISHA ELECTRICITY REGULATORY COMMISSION</w:t>
      </w:r>
    </w:p>
    <w:p w14:paraId="5283D483" w14:textId="77777777" w:rsidR="007E6A21" w:rsidRPr="007E6A21" w:rsidRDefault="007E6A21" w:rsidP="007E6A21">
      <w:pPr>
        <w:spacing w:before="101"/>
        <w:ind w:left="220" w:right="143"/>
        <w:jc w:val="center"/>
        <w:rPr>
          <w:b/>
          <w:sz w:val="24"/>
          <w:szCs w:val="24"/>
        </w:rPr>
      </w:pPr>
      <w:r w:rsidRPr="007E6A21">
        <w:rPr>
          <w:b/>
          <w:sz w:val="24"/>
          <w:szCs w:val="24"/>
        </w:rPr>
        <w:t>BHUBANESWAR</w:t>
      </w:r>
    </w:p>
    <w:p w14:paraId="267C9037" w14:textId="77777777" w:rsidR="007E6A21" w:rsidRPr="007E6A21" w:rsidRDefault="007E6A21" w:rsidP="007E6A21">
      <w:pPr>
        <w:spacing w:before="101"/>
        <w:ind w:left="220" w:right="143"/>
        <w:jc w:val="both"/>
        <w:rPr>
          <w:b/>
          <w:sz w:val="24"/>
          <w:szCs w:val="24"/>
        </w:rPr>
      </w:pPr>
      <w:r w:rsidRPr="007E6A21">
        <w:rPr>
          <w:b/>
          <w:sz w:val="24"/>
          <w:szCs w:val="24"/>
        </w:rPr>
        <w:t>IN THE MATTER OF</w:t>
      </w:r>
    </w:p>
    <w:p w14:paraId="13B553AB" w14:textId="77777777" w:rsidR="007E6A21" w:rsidRPr="007E6A21" w:rsidRDefault="007E6A21" w:rsidP="007E6A21">
      <w:pPr>
        <w:spacing w:before="101"/>
        <w:ind w:left="220" w:right="143"/>
        <w:jc w:val="both"/>
        <w:rPr>
          <w:b/>
          <w:sz w:val="24"/>
          <w:szCs w:val="24"/>
        </w:rPr>
      </w:pPr>
    </w:p>
    <w:p w14:paraId="2E5777C0" w14:textId="574BD2F3" w:rsidR="007E6A21" w:rsidRPr="0017170A" w:rsidRDefault="002715D6" w:rsidP="007E6A21">
      <w:pPr>
        <w:spacing w:before="101"/>
        <w:ind w:left="220" w:right="143"/>
        <w:jc w:val="both"/>
        <w:rPr>
          <w:b/>
          <w:bCs/>
          <w:sz w:val="24"/>
          <w:szCs w:val="24"/>
        </w:rPr>
      </w:pPr>
      <w:r w:rsidRPr="002715D6">
        <w:rPr>
          <w:b/>
          <w:bCs/>
        </w:rPr>
        <w:t>An Application under sections 42, 64 (3) and 86 (a) of the Electricity Act 2003, read with section 1.3 of OERC (Terms &amp; Conditions for Determination of Wheeling Tariff and Retail Supply tariff) Regulations, 2022 and all enabling provisions for determination of Wheeling Charges &amp; Surcharges applicable to the Distribution System User &amp; Open Access Consumers for use of intra-state transmission/ distribution system and associated facilities for the financial year 2024-25.</w:t>
      </w:r>
    </w:p>
    <w:p w14:paraId="6C99D62A" w14:textId="77777777" w:rsidR="007E6A21" w:rsidRPr="007E6A21" w:rsidRDefault="007E6A21" w:rsidP="007E6A21">
      <w:pPr>
        <w:spacing w:before="101"/>
        <w:ind w:left="220" w:right="143"/>
        <w:jc w:val="both"/>
        <w:rPr>
          <w:b/>
          <w:sz w:val="24"/>
          <w:szCs w:val="24"/>
        </w:rPr>
      </w:pPr>
    </w:p>
    <w:p w14:paraId="5E774C18" w14:textId="5AAE9C14" w:rsidR="007E6A21" w:rsidRPr="007E6A21" w:rsidRDefault="007E6A21" w:rsidP="007E6A21">
      <w:pPr>
        <w:spacing w:before="101"/>
        <w:ind w:left="220" w:right="143"/>
        <w:jc w:val="both"/>
        <w:rPr>
          <w:b/>
          <w:sz w:val="24"/>
          <w:szCs w:val="24"/>
        </w:rPr>
      </w:pPr>
      <w:r w:rsidRPr="007E6A21">
        <w:rPr>
          <w:b/>
          <w:sz w:val="24"/>
          <w:szCs w:val="24"/>
        </w:rPr>
        <w:t xml:space="preserve"> IN THE MATTER OF</w:t>
      </w:r>
    </w:p>
    <w:p w14:paraId="21AF1B86" w14:textId="77777777" w:rsidR="007E6A21" w:rsidRPr="007E6A21" w:rsidRDefault="007E6A21" w:rsidP="007E6A21">
      <w:pPr>
        <w:spacing w:before="101"/>
        <w:ind w:left="220" w:right="143"/>
        <w:jc w:val="both"/>
        <w:rPr>
          <w:b/>
          <w:sz w:val="24"/>
          <w:szCs w:val="24"/>
        </w:rPr>
      </w:pPr>
      <w:r w:rsidRPr="007E6A21">
        <w:rPr>
          <w:b/>
          <w:sz w:val="24"/>
          <w:szCs w:val="24"/>
        </w:rPr>
        <w:t xml:space="preserve"> </w:t>
      </w:r>
    </w:p>
    <w:p w14:paraId="55BF9F3F" w14:textId="77777777" w:rsidR="007E6A21" w:rsidRPr="007E6A21" w:rsidRDefault="007E6A21" w:rsidP="007E6A21">
      <w:pPr>
        <w:spacing w:before="101"/>
        <w:ind w:left="220" w:right="143"/>
        <w:jc w:val="both"/>
        <w:rPr>
          <w:b/>
          <w:sz w:val="24"/>
          <w:szCs w:val="24"/>
        </w:rPr>
      </w:pPr>
      <w:r w:rsidRPr="007E6A21">
        <w:rPr>
          <w:b/>
          <w:sz w:val="24"/>
          <w:szCs w:val="24"/>
        </w:rPr>
        <w:t>AND</w:t>
      </w:r>
    </w:p>
    <w:p w14:paraId="30676F79" w14:textId="77777777" w:rsidR="007E6A21" w:rsidRPr="007E6A21" w:rsidRDefault="007E6A21" w:rsidP="007E6A21">
      <w:pPr>
        <w:spacing w:before="101"/>
        <w:ind w:left="220" w:right="143"/>
        <w:jc w:val="both"/>
        <w:rPr>
          <w:b/>
          <w:sz w:val="24"/>
          <w:szCs w:val="24"/>
        </w:rPr>
      </w:pPr>
    </w:p>
    <w:p w14:paraId="0B2C4549" w14:textId="77777777" w:rsidR="007E6A21" w:rsidRPr="007E6A21" w:rsidRDefault="007E6A21" w:rsidP="007E6A21">
      <w:pPr>
        <w:spacing w:before="101"/>
        <w:ind w:left="220" w:right="143"/>
        <w:jc w:val="both"/>
        <w:rPr>
          <w:bCs/>
          <w:sz w:val="24"/>
          <w:szCs w:val="24"/>
        </w:rPr>
      </w:pPr>
      <w:r w:rsidRPr="007E6A21">
        <w:rPr>
          <w:bCs/>
          <w:sz w:val="24"/>
          <w:szCs w:val="24"/>
        </w:rPr>
        <w:t>TP Western Odisha Distribution Ltd.</w:t>
      </w:r>
    </w:p>
    <w:p w14:paraId="7E0A199F" w14:textId="51F9CE43" w:rsidR="007E6A21" w:rsidRPr="007E6A21" w:rsidRDefault="007E6A21" w:rsidP="007E6A21">
      <w:pPr>
        <w:spacing w:before="101"/>
        <w:ind w:left="220" w:right="143"/>
        <w:jc w:val="both"/>
        <w:rPr>
          <w:bCs/>
          <w:sz w:val="24"/>
          <w:szCs w:val="24"/>
        </w:rPr>
      </w:pPr>
      <w:r w:rsidRPr="007E6A21">
        <w:rPr>
          <w:bCs/>
          <w:sz w:val="24"/>
          <w:szCs w:val="24"/>
        </w:rPr>
        <w:t xml:space="preserve">Head Office Burla, Sambalpur, Odisha-768017.                                  </w:t>
      </w:r>
      <w:r>
        <w:rPr>
          <w:bCs/>
          <w:sz w:val="24"/>
          <w:szCs w:val="24"/>
        </w:rPr>
        <w:t xml:space="preserve">          </w:t>
      </w:r>
      <w:r w:rsidRPr="007E6A21">
        <w:rPr>
          <w:bCs/>
          <w:sz w:val="24"/>
          <w:szCs w:val="24"/>
        </w:rPr>
        <w:t>---------TPWODL</w:t>
      </w:r>
    </w:p>
    <w:p w14:paraId="70DFF45E" w14:textId="77777777" w:rsidR="007E6A21" w:rsidRDefault="007E6A21" w:rsidP="00ED143D">
      <w:pPr>
        <w:spacing w:before="101"/>
        <w:ind w:left="220" w:right="143"/>
        <w:jc w:val="both"/>
        <w:rPr>
          <w:b/>
          <w:sz w:val="24"/>
          <w:szCs w:val="24"/>
        </w:rPr>
      </w:pPr>
    </w:p>
    <w:p w14:paraId="5A584F3C" w14:textId="47CEDE3C" w:rsidR="00ED143D" w:rsidRPr="0044228C" w:rsidRDefault="00ED143D" w:rsidP="00ED143D">
      <w:pPr>
        <w:spacing w:before="101"/>
        <w:ind w:left="220" w:right="143"/>
        <w:jc w:val="both"/>
        <w:rPr>
          <w:b/>
          <w:sz w:val="24"/>
          <w:szCs w:val="24"/>
        </w:rPr>
      </w:pPr>
      <w:r w:rsidRPr="0044228C">
        <w:rPr>
          <w:b/>
          <w:sz w:val="24"/>
          <w:szCs w:val="24"/>
        </w:rPr>
        <w:t>Humble application of the</w:t>
      </w:r>
      <w:r w:rsidRPr="0044228C">
        <w:rPr>
          <w:b/>
          <w:spacing w:val="1"/>
          <w:sz w:val="24"/>
          <w:szCs w:val="24"/>
        </w:rPr>
        <w:t xml:space="preserve"> </w:t>
      </w:r>
      <w:proofErr w:type="gramStart"/>
      <w:r w:rsidR="004E01A1" w:rsidRPr="0044228C">
        <w:rPr>
          <w:b/>
          <w:sz w:val="24"/>
          <w:szCs w:val="24"/>
        </w:rPr>
        <w:t>above named</w:t>
      </w:r>
      <w:proofErr w:type="gramEnd"/>
      <w:r w:rsidR="00FA1C1A">
        <w:rPr>
          <w:b/>
          <w:sz w:val="24"/>
          <w:szCs w:val="24"/>
        </w:rPr>
        <w:t xml:space="preserve"> </w:t>
      </w:r>
      <w:r w:rsidRPr="0044228C">
        <w:rPr>
          <w:b/>
          <w:sz w:val="24"/>
          <w:szCs w:val="24"/>
        </w:rPr>
        <w:t>licensee for determination of wheeling charges,</w:t>
      </w:r>
      <w:r w:rsidRPr="0044228C">
        <w:rPr>
          <w:b/>
          <w:spacing w:val="1"/>
          <w:sz w:val="24"/>
          <w:szCs w:val="24"/>
        </w:rPr>
        <w:t xml:space="preserve"> </w:t>
      </w:r>
      <w:r w:rsidRPr="0044228C">
        <w:rPr>
          <w:b/>
          <w:sz w:val="24"/>
          <w:szCs w:val="24"/>
        </w:rPr>
        <w:t>Cross Subsidy Surcharges, Additional surcharges and miscellaneous charges for FY 202</w:t>
      </w:r>
      <w:r w:rsidR="00B242B4">
        <w:rPr>
          <w:b/>
          <w:sz w:val="24"/>
          <w:szCs w:val="24"/>
        </w:rPr>
        <w:t>4</w:t>
      </w:r>
      <w:r w:rsidRPr="0044228C">
        <w:rPr>
          <w:b/>
          <w:sz w:val="24"/>
          <w:szCs w:val="24"/>
        </w:rPr>
        <w:t>-2</w:t>
      </w:r>
      <w:r w:rsidR="00B242B4">
        <w:rPr>
          <w:b/>
          <w:sz w:val="24"/>
          <w:szCs w:val="24"/>
        </w:rPr>
        <w:t>5</w:t>
      </w:r>
      <w:r w:rsidRPr="0044228C">
        <w:rPr>
          <w:b/>
          <w:spacing w:val="1"/>
          <w:sz w:val="24"/>
          <w:szCs w:val="24"/>
        </w:rPr>
        <w:t xml:space="preserve"> </w:t>
      </w:r>
      <w:r w:rsidRPr="0044228C">
        <w:rPr>
          <w:b/>
          <w:sz w:val="24"/>
          <w:szCs w:val="24"/>
        </w:rPr>
        <w:t>applicable</w:t>
      </w:r>
      <w:r w:rsidRPr="0044228C">
        <w:rPr>
          <w:b/>
          <w:spacing w:val="-1"/>
          <w:sz w:val="24"/>
          <w:szCs w:val="24"/>
        </w:rPr>
        <w:t xml:space="preserve"> </w:t>
      </w:r>
      <w:r w:rsidRPr="0044228C">
        <w:rPr>
          <w:b/>
          <w:sz w:val="24"/>
          <w:szCs w:val="24"/>
        </w:rPr>
        <w:t>to</w:t>
      </w:r>
      <w:r w:rsidRPr="0044228C">
        <w:rPr>
          <w:b/>
          <w:spacing w:val="-1"/>
          <w:sz w:val="24"/>
          <w:szCs w:val="24"/>
        </w:rPr>
        <w:t xml:space="preserve"> </w:t>
      </w:r>
      <w:r w:rsidRPr="0044228C">
        <w:rPr>
          <w:b/>
          <w:sz w:val="24"/>
          <w:szCs w:val="24"/>
        </w:rPr>
        <w:t>Open</w:t>
      </w:r>
      <w:r w:rsidRPr="0044228C">
        <w:rPr>
          <w:b/>
          <w:spacing w:val="1"/>
          <w:sz w:val="24"/>
          <w:szCs w:val="24"/>
        </w:rPr>
        <w:t xml:space="preserve"> </w:t>
      </w:r>
      <w:r w:rsidRPr="0044228C">
        <w:rPr>
          <w:b/>
          <w:sz w:val="24"/>
          <w:szCs w:val="24"/>
        </w:rPr>
        <w:t>Access</w:t>
      </w:r>
      <w:r w:rsidRPr="0044228C">
        <w:rPr>
          <w:b/>
          <w:spacing w:val="-1"/>
          <w:sz w:val="24"/>
          <w:szCs w:val="24"/>
        </w:rPr>
        <w:t xml:space="preserve"> </w:t>
      </w:r>
      <w:r w:rsidR="003753C8">
        <w:rPr>
          <w:b/>
          <w:sz w:val="24"/>
          <w:szCs w:val="24"/>
        </w:rPr>
        <w:t>Consumers.</w:t>
      </w:r>
    </w:p>
    <w:p w14:paraId="08E487B8" w14:textId="77777777" w:rsidR="00ED143D" w:rsidRDefault="00ED143D" w:rsidP="00ED143D">
      <w:pPr>
        <w:pStyle w:val="BodyText"/>
        <w:rPr>
          <w:b/>
          <w:sz w:val="26"/>
        </w:rPr>
      </w:pPr>
    </w:p>
    <w:p w14:paraId="5D829C1E" w14:textId="3EA61244" w:rsidR="00ED143D" w:rsidRPr="001F7505" w:rsidRDefault="00ED143D" w:rsidP="00ED143D">
      <w:pPr>
        <w:ind w:left="220"/>
        <w:jc w:val="both"/>
        <w:rPr>
          <w:b/>
          <w:sz w:val="28"/>
        </w:rPr>
      </w:pPr>
      <w:r w:rsidRPr="001F7505">
        <w:rPr>
          <w:b/>
        </w:rPr>
        <w:t>MOST</w:t>
      </w:r>
      <w:r w:rsidRPr="001F7505">
        <w:rPr>
          <w:b/>
          <w:spacing w:val="-2"/>
        </w:rPr>
        <w:t xml:space="preserve"> </w:t>
      </w:r>
      <w:r w:rsidRPr="001F7505">
        <w:rPr>
          <w:b/>
        </w:rPr>
        <w:t>RESPECTFULLY</w:t>
      </w:r>
      <w:r w:rsidRPr="001F7505">
        <w:rPr>
          <w:b/>
          <w:spacing w:val="-1"/>
        </w:rPr>
        <w:t xml:space="preserve"> </w:t>
      </w:r>
      <w:r w:rsidRPr="001F7505">
        <w:rPr>
          <w:b/>
        </w:rPr>
        <w:t>SHEWETH</w:t>
      </w:r>
      <w:r w:rsidRPr="001F7505">
        <w:rPr>
          <w:b/>
          <w:sz w:val="28"/>
        </w:rPr>
        <w:t>:</w:t>
      </w:r>
    </w:p>
    <w:p w14:paraId="725E1DC0" w14:textId="7E67FB7B" w:rsidR="00913399" w:rsidRPr="001F7505" w:rsidRDefault="00913399" w:rsidP="00913399">
      <w:pPr>
        <w:pStyle w:val="Heading1"/>
        <w:numPr>
          <w:ilvl w:val="0"/>
          <w:numId w:val="12"/>
        </w:numPr>
        <w:tabs>
          <w:tab w:val="left" w:pos="3177"/>
          <w:tab w:val="left" w:pos="4886"/>
          <w:tab w:val="left" w:pos="6652"/>
        </w:tabs>
        <w:spacing w:before="120" w:line="360" w:lineRule="auto"/>
        <w:ind w:left="993" w:right="141" w:hanging="426"/>
        <w:rPr>
          <w:b w:val="0"/>
          <w:bCs w:val="0"/>
        </w:rPr>
      </w:pPr>
      <w:r w:rsidRPr="001F7505">
        <w:rPr>
          <w:b w:val="0"/>
          <w:bCs w:val="0"/>
        </w:rPr>
        <w:t xml:space="preserve">That, the </w:t>
      </w:r>
      <w:r w:rsidR="00481AB1" w:rsidRPr="001F7505">
        <w:rPr>
          <w:b w:val="0"/>
          <w:bCs w:val="0"/>
        </w:rPr>
        <w:t xml:space="preserve">Applicant </w:t>
      </w:r>
      <w:r w:rsidRPr="001F7505">
        <w:rPr>
          <w:b w:val="0"/>
          <w:bCs w:val="0"/>
        </w:rPr>
        <w:t xml:space="preserve">Licensee, has taken over the distribution business from erstwhile WESCO Utility </w:t>
      </w:r>
      <w:proofErr w:type="spellStart"/>
      <w:r w:rsidRPr="001F7505">
        <w:rPr>
          <w:b w:val="0"/>
          <w:bCs w:val="0"/>
        </w:rPr>
        <w:t>w.e.f</w:t>
      </w:r>
      <w:proofErr w:type="spellEnd"/>
      <w:r w:rsidRPr="001F7505">
        <w:rPr>
          <w:b w:val="0"/>
          <w:bCs w:val="0"/>
        </w:rPr>
        <w:t xml:space="preserve"> 01.01.2021 as per terms of the vesting order. TP Western Odisha Distribution Limited (TPWODL) is a joint venture between Tata Power and the Government of Odisha with equity participation of 51% by Tata Power Company Ltd. and 49% by GRIDCO Ltd., on behalf of the State Govt.</w:t>
      </w:r>
    </w:p>
    <w:p w14:paraId="1FA8540D" w14:textId="3F402FA8" w:rsidR="00913399" w:rsidRPr="001F7505" w:rsidRDefault="00913399" w:rsidP="00913399">
      <w:pPr>
        <w:pStyle w:val="Heading1"/>
        <w:numPr>
          <w:ilvl w:val="0"/>
          <w:numId w:val="12"/>
        </w:numPr>
        <w:tabs>
          <w:tab w:val="left" w:pos="3177"/>
          <w:tab w:val="left" w:pos="4886"/>
          <w:tab w:val="left" w:pos="6652"/>
        </w:tabs>
        <w:spacing w:before="120" w:line="360" w:lineRule="auto"/>
        <w:ind w:left="993" w:right="141" w:hanging="426"/>
        <w:rPr>
          <w:b w:val="0"/>
          <w:bCs w:val="0"/>
        </w:rPr>
      </w:pPr>
      <w:r w:rsidRPr="001F7505">
        <w:rPr>
          <w:b w:val="0"/>
          <w:bCs w:val="0"/>
        </w:rPr>
        <w:t xml:space="preserve">That, the </w:t>
      </w:r>
      <w:r w:rsidR="00322613" w:rsidRPr="001F7505">
        <w:rPr>
          <w:b w:val="0"/>
          <w:bCs w:val="0"/>
        </w:rPr>
        <w:t>Applicant</w:t>
      </w:r>
      <w:r w:rsidRPr="001F7505">
        <w:rPr>
          <w:b w:val="0"/>
          <w:bCs w:val="0"/>
        </w:rPr>
        <w:t xml:space="preserve"> Licensee is the Distribution Licensee, as per License Condition dated 26.03.2021 of the Hon’ble Commission and engaged in the retail supply and distribution of electricity in western part of Odisha having 09 revenue districts namely Sambalpur, Jharsuguda, Deogarh, </w:t>
      </w:r>
      <w:proofErr w:type="spellStart"/>
      <w:r w:rsidRPr="001F7505">
        <w:rPr>
          <w:b w:val="0"/>
          <w:bCs w:val="0"/>
        </w:rPr>
        <w:t>Sundergarh</w:t>
      </w:r>
      <w:proofErr w:type="spellEnd"/>
      <w:r w:rsidRPr="001F7505">
        <w:rPr>
          <w:b w:val="0"/>
          <w:bCs w:val="0"/>
        </w:rPr>
        <w:t xml:space="preserve">, Bargarh, </w:t>
      </w:r>
      <w:proofErr w:type="spellStart"/>
      <w:r w:rsidRPr="001F7505">
        <w:rPr>
          <w:b w:val="0"/>
          <w:bCs w:val="0"/>
        </w:rPr>
        <w:t>Bolangir</w:t>
      </w:r>
      <w:proofErr w:type="spellEnd"/>
      <w:r w:rsidRPr="001F7505">
        <w:rPr>
          <w:b w:val="0"/>
          <w:bCs w:val="0"/>
        </w:rPr>
        <w:t xml:space="preserve">, </w:t>
      </w:r>
      <w:proofErr w:type="spellStart"/>
      <w:r w:rsidRPr="001F7505">
        <w:rPr>
          <w:b w:val="0"/>
          <w:bCs w:val="0"/>
        </w:rPr>
        <w:t>Sonepur</w:t>
      </w:r>
      <w:proofErr w:type="spellEnd"/>
      <w:r w:rsidRPr="001F7505">
        <w:rPr>
          <w:b w:val="0"/>
          <w:bCs w:val="0"/>
        </w:rPr>
        <w:t xml:space="preserve">, Kalahandi and </w:t>
      </w:r>
      <w:proofErr w:type="spellStart"/>
      <w:r w:rsidRPr="001F7505">
        <w:rPr>
          <w:b w:val="0"/>
          <w:bCs w:val="0"/>
        </w:rPr>
        <w:t>Nuapada</w:t>
      </w:r>
      <w:proofErr w:type="spellEnd"/>
      <w:r w:rsidRPr="001F7505">
        <w:rPr>
          <w:b w:val="0"/>
          <w:bCs w:val="0"/>
        </w:rPr>
        <w:t xml:space="preserve"> with area of operation of 48000 </w:t>
      </w:r>
      <w:proofErr w:type="spellStart"/>
      <w:r w:rsidRPr="001F7505">
        <w:rPr>
          <w:b w:val="0"/>
          <w:bCs w:val="0"/>
        </w:rPr>
        <w:t>Sq.Km</w:t>
      </w:r>
      <w:proofErr w:type="spellEnd"/>
      <w:r w:rsidRPr="001F7505">
        <w:rPr>
          <w:b w:val="0"/>
          <w:bCs w:val="0"/>
        </w:rPr>
        <w:t>.</w:t>
      </w:r>
    </w:p>
    <w:p w14:paraId="6C21A2FB" w14:textId="5DF8F985" w:rsidR="004029C4" w:rsidRPr="001F7505" w:rsidRDefault="004029C4" w:rsidP="004029C4">
      <w:pPr>
        <w:pStyle w:val="Heading1"/>
        <w:numPr>
          <w:ilvl w:val="0"/>
          <w:numId w:val="12"/>
        </w:numPr>
        <w:tabs>
          <w:tab w:val="left" w:pos="3177"/>
          <w:tab w:val="left" w:pos="4886"/>
          <w:tab w:val="left" w:pos="6652"/>
        </w:tabs>
        <w:spacing w:before="120" w:line="360" w:lineRule="auto"/>
        <w:ind w:left="993" w:right="141" w:hanging="426"/>
        <w:rPr>
          <w:b w:val="0"/>
          <w:bCs w:val="0"/>
        </w:rPr>
      </w:pPr>
      <w:proofErr w:type="gramStart"/>
      <w:r w:rsidRPr="001F7505">
        <w:rPr>
          <w:b w:val="0"/>
          <w:bCs w:val="0"/>
        </w:rPr>
        <w:t>That, as</w:t>
      </w:r>
      <w:proofErr w:type="gramEnd"/>
      <w:r w:rsidRPr="001F7505">
        <w:rPr>
          <w:b w:val="0"/>
          <w:bCs w:val="0"/>
        </w:rPr>
        <w:t xml:space="preserve"> per the mandate of the Vesting Order, TPWODL is procuring power </w:t>
      </w:r>
      <w:r w:rsidRPr="001F7505">
        <w:rPr>
          <w:b w:val="0"/>
          <w:bCs w:val="0"/>
        </w:rPr>
        <w:lastRenderedPageBreak/>
        <w:t xml:space="preserve">from GRIDCO, who is the </w:t>
      </w:r>
      <w:r w:rsidR="00C41003" w:rsidRPr="001F7505">
        <w:rPr>
          <w:b w:val="0"/>
          <w:bCs w:val="0"/>
        </w:rPr>
        <w:t>state-designated</w:t>
      </w:r>
      <w:r w:rsidRPr="001F7505">
        <w:rPr>
          <w:b w:val="0"/>
          <w:bCs w:val="0"/>
        </w:rPr>
        <w:t xml:space="preserve"> entity to procure power for all the 4 DISCOM(s) from different generators like Thermal, Hydel, Renewable etc. At present the approved BST is Rs. 3.90/unit with a BSP surcharge of R</w:t>
      </w:r>
      <w:r w:rsidR="00C41003" w:rsidRPr="001F7505">
        <w:rPr>
          <w:b w:val="0"/>
          <w:bCs w:val="0"/>
        </w:rPr>
        <w:t>s</w:t>
      </w:r>
      <w:r w:rsidRPr="001F7505">
        <w:rPr>
          <w:b w:val="0"/>
          <w:bCs w:val="0"/>
        </w:rPr>
        <w:t>. 0.30/ unit which is payable quarterly apart from transmission charges of Rs. 0.24/ unit. GRIDCO is also a Deemed Trading Licensee under 5th proviso to Section 14 of the Electricity Act, 2003.</w:t>
      </w:r>
    </w:p>
    <w:p w14:paraId="5DEC605B" w14:textId="2E589057" w:rsidR="00913399" w:rsidRPr="001F7505" w:rsidRDefault="00913399" w:rsidP="00913399">
      <w:pPr>
        <w:pStyle w:val="Heading1"/>
        <w:numPr>
          <w:ilvl w:val="0"/>
          <w:numId w:val="12"/>
        </w:numPr>
        <w:tabs>
          <w:tab w:val="left" w:pos="3177"/>
          <w:tab w:val="left" w:pos="4886"/>
          <w:tab w:val="left" w:pos="6652"/>
        </w:tabs>
        <w:spacing w:before="120" w:line="360" w:lineRule="auto"/>
        <w:ind w:left="993" w:right="141" w:hanging="426"/>
        <w:rPr>
          <w:b w:val="0"/>
          <w:bCs w:val="0"/>
        </w:rPr>
      </w:pPr>
      <w:r w:rsidRPr="001F7505">
        <w:rPr>
          <w:b w:val="0"/>
          <w:bCs w:val="0"/>
        </w:rPr>
        <w:t>That, Odisha Power Transmission Corporation Limited the Transmission Licensee. (a deemed Transmission Licensee under Section 14 of Electricity Act, 2003) notified as the State Transmission Utility (STU) by the State Government and discharging the State Load Dispatch functions.</w:t>
      </w:r>
    </w:p>
    <w:p w14:paraId="2091FB3E" w14:textId="5259B3F4" w:rsidR="003E7283" w:rsidRPr="001F7505" w:rsidRDefault="00DC6A32" w:rsidP="00A44496">
      <w:pPr>
        <w:pStyle w:val="Heading1"/>
        <w:numPr>
          <w:ilvl w:val="0"/>
          <w:numId w:val="12"/>
        </w:numPr>
        <w:tabs>
          <w:tab w:val="left" w:pos="3177"/>
          <w:tab w:val="left" w:pos="4886"/>
          <w:tab w:val="left" w:pos="6652"/>
        </w:tabs>
        <w:spacing w:before="120" w:line="360" w:lineRule="auto"/>
        <w:ind w:left="993" w:right="141" w:hanging="426"/>
        <w:rPr>
          <w:b w:val="0"/>
          <w:bCs w:val="0"/>
        </w:rPr>
      </w:pPr>
      <w:r w:rsidRPr="001F7505">
        <w:rPr>
          <w:b w:val="0"/>
          <w:bCs w:val="0"/>
        </w:rPr>
        <w:t xml:space="preserve">That, </w:t>
      </w:r>
      <w:r w:rsidR="003E7283" w:rsidRPr="001F7505">
        <w:rPr>
          <w:b w:val="0"/>
          <w:bCs w:val="0"/>
        </w:rPr>
        <w:t xml:space="preserve">the Hon’ble Commission had vide its Notification No. </w:t>
      </w:r>
      <w:proofErr w:type="gramStart"/>
      <w:r w:rsidR="003E7283" w:rsidRPr="001F7505">
        <w:rPr>
          <w:b w:val="0"/>
          <w:bCs w:val="0"/>
        </w:rPr>
        <w:t>1472-OERC/RA/RST.REGU.-</w:t>
      </w:r>
      <w:proofErr w:type="gramEnd"/>
      <w:r w:rsidR="003E7283" w:rsidRPr="001F7505">
        <w:rPr>
          <w:b w:val="0"/>
          <w:bCs w:val="0"/>
        </w:rPr>
        <w:t>36/2021 dated 20.12.2022 had brought out its New Regulation i.e. Odisha Electricity Regulatory Commission (Terms and Conditions for Determination of Wheeling Tariff and Retail Supply Tariff) Regulations, 2022 superseding the old Regulation of 2014 coming into effect from the date of their publication in the Official Gazette i.e. 23.12.2022</w:t>
      </w:r>
    </w:p>
    <w:p w14:paraId="64896522" w14:textId="6AB5B36E" w:rsidR="003C4018" w:rsidRPr="001F7505" w:rsidRDefault="003E7283" w:rsidP="00A44496">
      <w:pPr>
        <w:pStyle w:val="Heading1"/>
        <w:numPr>
          <w:ilvl w:val="0"/>
          <w:numId w:val="12"/>
        </w:numPr>
        <w:tabs>
          <w:tab w:val="left" w:pos="3177"/>
          <w:tab w:val="left" w:pos="4886"/>
          <w:tab w:val="left" w:pos="6652"/>
        </w:tabs>
        <w:spacing w:before="120" w:line="360" w:lineRule="auto"/>
        <w:ind w:left="993" w:right="141" w:hanging="426"/>
        <w:rPr>
          <w:b w:val="0"/>
          <w:bCs w:val="0"/>
        </w:rPr>
      </w:pPr>
      <w:r w:rsidRPr="001F7505">
        <w:rPr>
          <w:b w:val="0"/>
          <w:bCs w:val="0"/>
        </w:rPr>
        <w:t xml:space="preserve">That, </w:t>
      </w:r>
      <w:r w:rsidR="00F55AF1" w:rsidRPr="001F7505">
        <w:rPr>
          <w:b w:val="0"/>
          <w:bCs w:val="0"/>
        </w:rPr>
        <w:t>according</w:t>
      </w:r>
      <w:r w:rsidR="00212511" w:rsidRPr="001F7505">
        <w:rPr>
          <w:b w:val="0"/>
          <w:bCs w:val="0"/>
        </w:rPr>
        <w:t xml:space="preserve"> to the provision of the </w:t>
      </w:r>
      <w:r w:rsidR="00F55AF1" w:rsidRPr="001F7505">
        <w:rPr>
          <w:b w:val="0"/>
          <w:bCs w:val="0"/>
        </w:rPr>
        <w:t>New Regulation i.e. Odisha Electricity Regulatory Commission (Terms and Conditions for Determination of Wheeling Tariff and Retail Supply Tariff) Regulations, 2022</w:t>
      </w:r>
      <w:r w:rsidR="00B739A7" w:rsidRPr="001F7505">
        <w:rPr>
          <w:b w:val="0"/>
          <w:bCs w:val="0"/>
        </w:rPr>
        <w:t>,</w:t>
      </w:r>
      <w:r w:rsidR="00212511" w:rsidRPr="001F7505">
        <w:rPr>
          <w:b w:val="0"/>
          <w:bCs w:val="0"/>
        </w:rPr>
        <w:t xml:space="preserve"> </w:t>
      </w:r>
      <w:r w:rsidR="00B8263D" w:rsidRPr="001F7505">
        <w:rPr>
          <w:b w:val="0"/>
          <w:bCs w:val="0"/>
        </w:rPr>
        <w:t>t</w:t>
      </w:r>
      <w:r w:rsidR="003C4018" w:rsidRPr="001F7505">
        <w:rPr>
          <w:b w:val="0"/>
          <w:bCs w:val="0"/>
        </w:rPr>
        <w:t xml:space="preserve">he </w:t>
      </w:r>
      <w:r w:rsidR="00B21F3B" w:rsidRPr="001F7505">
        <w:rPr>
          <w:b w:val="0"/>
          <w:bCs w:val="0"/>
        </w:rPr>
        <w:t xml:space="preserve">Hon’ble </w:t>
      </w:r>
      <w:r w:rsidR="003C4018" w:rsidRPr="001F7505">
        <w:rPr>
          <w:b w:val="0"/>
          <w:bCs w:val="0"/>
        </w:rPr>
        <w:t>Commission determine</w:t>
      </w:r>
      <w:r w:rsidR="00DB0B0E" w:rsidRPr="001F7505">
        <w:rPr>
          <w:b w:val="0"/>
          <w:bCs w:val="0"/>
        </w:rPr>
        <w:t>s</w:t>
      </w:r>
      <w:r w:rsidR="003C4018" w:rsidRPr="001F7505">
        <w:rPr>
          <w:b w:val="0"/>
          <w:bCs w:val="0"/>
        </w:rPr>
        <w:t xml:space="preserve"> the tariff for Wheeling Business and Retail Supply Business </w:t>
      </w:r>
      <w:r w:rsidR="008F74D0" w:rsidRPr="001F7505">
        <w:rPr>
          <w:b w:val="0"/>
          <w:bCs w:val="0"/>
        </w:rPr>
        <w:t xml:space="preserve">annually </w:t>
      </w:r>
      <w:r w:rsidR="003C4018" w:rsidRPr="001F7505">
        <w:rPr>
          <w:b w:val="0"/>
          <w:bCs w:val="0"/>
        </w:rPr>
        <w:t xml:space="preserve">based on an application received from the Licensees in accordance with the procedure contained in </w:t>
      </w:r>
      <w:r w:rsidR="00594491" w:rsidRPr="001F7505">
        <w:rPr>
          <w:b w:val="0"/>
          <w:bCs w:val="0"/>
        </w:rPr>
        <w:t>OERC (Terms &amp; Conditions for Determination of Wheeling Tariff and Retail Supply tariff) Regulations, 2022</w:t>
      </w:r>
      <w:r w:rsidR="003C4018" w:rsidRPr="001F7505">
        <w:rPr>
          <w:b w:val="0"/>
          <w:bCs w:val="0"/>
        </w:rPr>
        <w:t xml:space="preserve"> or </w:t>
      </w:r>
      <w:proofErr w:type="spellStart"/>
      <w:r w:rsidR="003C4018" w:rsidRPr="001F7505">
        <w:rPr>
          <w:b w:val="0"/>
          <w:bCs w:val="0"/>
        </w:rPr>
        <w:t>suo</w:t>
      </w:r>
      <w:proofErr w:type="spellEnd"/>
      <w:r w:rsidR="003C4018" w:rsidRPr="001F7505">
        <w:rPr>
          <w:b w:val="0"/>
          <w:bCs w:val="0"/>
        </w:rPr>
        <w:t>-moto as per the provisions of the Act.</w:t>
      </w:r>
    </w:p>
    <w:p w14:paraId="0265F499" w14:textId="77777777" w:rsidR="00C94869" w:rsidRPr="001F7505" w:rsidRDefault="00ED143D" w:rsidP="00A44496">
      <w:pPr>
        <w:pStyle w:val="Heading1"/>
        <w:numPr>
          <w:ilvl w:val="0"/>
          <w:numId w:val="12"/>
        </w:numPr>
        <w:tabs>
          <w:tab w:val="left" w:pos="3177"/>
          <w:tab w:val="left" w:pos="4886"/>
          <w:tab w:val="left" w:pos="6652"/>
        </w:tabs>
        <w:spacing w:before="120" w:line="360" w:lineRule="auto"/>
        <w:ind w:left="993" w:right="141" w:hanging="426"/>
        <w:rPr>
          <w:b w:val="0"/>
          <w:bCs w:val="0"/>
        </w:rPr>
      </w:pPr>
      <w:r w:rsidRPr="001F7505">
        <w:rPr>
          <w:b w:val="0"/>
          <w:bCs w:val="0"/>
        </w:rPr>
        <w:t xml:space="preserve">That, </w:t>
      </w:r>
      <w:r w:rsidR="009D6DEA" w:rsidRPr="001F7505">
        <w:rPr>
          <w:b w:val="0"/>
          <w:bCs w:val="0"/>
        </w:rPr>
        <w:t>the L</w:t>
      </w:r>
      <w:r w:rsidRPr="001F7505">
        <w:rPr>
          <w:b w:val="0"/>
          <w:bCs w:val="0"/>
        </w:rPr>
        <w:t xml:space="preserve">icensee is required to file the application </w:t>
      </w:r>
      <w:r w:rsidR="00E705EF" w:rsidRPr="001F7505">
        <w:rPr>
          <w:b w:val="0"/>
          <w:bCs w:val="0"/>
        </w:rPr>
        <w:t>before</w:t>
      </w:r>
      <w:r w:rsidRPr="001F7505">
        <w:rPr>
          <w:b w:val="0"/>
          <w:bCs w:val="0"/>
        </w:rPr>
        <w:t xml:space="preserve"> </w:t>
      </w:r>
      <w:r w:rsidR="00E705EF" w:rsidRPr="001F7505">
        <w:rPr>
          <w:b w:val="0"/>
          <w:bCs w:val="0"/>
        </w:rPr>
        <w:t xml:space="preserve">the </w:t>
      </w:r>
      <w:r w:rsidRPr="001F7505">
        <w:rPr>
          <w:b w:val="0"/>
          <w:bCs w:val="0"/>
        </w:rPr>
        <w:t>Hon’ble Commission</w:t>
      </w:r>
      <w:r w:rsidR="00DD3AD7" w:rsidRPr="001F7505">
        <w:rPr>
          <w:b w:val="0"/>
          <w:bCs w:val="0"/>
        </w:rPr>
        <w:t xml:space="preserve"> and the </w:t>
      </w:r>
      <w:r w:rsidR="006D352B" w:rsidRPr="001F7505">
        <w:rPr>
          <w:b w:val="0"/>
          <w:bCs w:val="0"/>
        </w:rPr>
        <w:t xml:space="preserve">Hon’ble </w:t>
      </w:r>
      <w:r w:rsidR="00DD3AD7" w:rsidRPr="001F7505">
        <w:rPr>
          <w:b w:val="0"/>
          <w:bCs w:val="0"/>
        </w:rPr>
        <w:t xml:space="preserve">Commission </w:t>
      </w:r>
      <w:r w:rsidR="00DB49B2" w:rsidRPr="001F7505">
        <w:rPr>
          <w:b w:val="0"/>
          <w:bCs w:val="0"/>
        </w:rPr>
        <w:t xml:space="preserve">shall determine the tariff for </w:t>
      </w:r>
      <w:r w:rsidR="006D352B" w:rsidRPr="001F7505">
        <w:rPr>
          <w:b w:val="0"/>
          <w:bCs w:val="0"/>
        </w:rPr>
        <w:t xml:space="preserve">generation, supply, transmission and wheeling of electricity, wholesale, </w:t>
      </w:r>
      <w:proofErr w:type="gramStart"/>
      <w:r w:rsidR="006D352B" w:rsidRPr="001F7505">
        <w:rPr>
          <w:b w:val="0"/>
          <w:bCs w:val="0"/>
        </w:rPr>
        <w:t>bulk</w:t>
      </w:r>
      <w:proofErr w:type="gramEnd"/>
      <w:r w:rsidR="006D352B" w:rsidRPr="001F7505">
        <w:rPr>
          <w:b w:val="0"/>
          <w:bCs w:val="0"/>
        </w:rPr>
        <w:t xml:space="preserve"> or retail, as the case may be</w:t>
      </w:r>
      <w:r w:rsidR="006477DE" w:rsidRPr="001F7505">
        <w:rPr>
          <w:b w:val="0"/>
          <w:bCs w:val="0"/>
        </w:rPr>
        <w:t>.</w:t>
      </w:r>
      <w:r w:rsidR="006D352B" w:rsidRPr="001F7505">
        <w:rPr>
          <w:b w:val="0"/>
          <w:bCs w:val="0"/>
        </w:rPr>
        <w:t xml:space="preserve"> </w:t>
      </w:r>
    </w:p>
    <w:p w14:paraId="6F9D3D60" w14:textId="4755C68B" w:rsidR="00ED143D" w:rsidRPr="001F7505" w:rsidRDefault="00C94869" w:rsidP="00A44496">
      <w:pPr>
        <w:pStyle w:val="Heading1"/>
        <w:numPr>
          <w:ilvl w:val="0"/>
          <w:numId w:val="12"/>
        </w:numPr>
        <w:tabs>
          <w:tab w:val="left" w:pos="3177"/>
          <w:tab w:val="left" w:pos="4886"/>
          <w:tab w:val="left" w:pos="6652"/>
        </w:tabs>
        <w:spacing w:before="120" w:line="360" w:lineRule="auto"/>
        <w:ind w:left="993" w:right="141" w:hanging="426"/>
        <w:rPr>
          <w:b w:val="0"/>
          <w:bCs w:val="0"/>
        </w:rPr>
      </w:pPr>
      <w:r w:rsidRPr="001F7505">
        <w:rPr>
          <w:b w:val="0"/>
          <w:bCs w:val="0"/>
        </w:rPr>
        <w:t xml:space="preserve">That, </w:t>
      </w:r>
      <w:r w:rsidR="00A859CB" w:rsidRPr="001F7505">
        <w:rPr>
          <w:b w:val="0"/>
          <w:bCs w:val="0"/>
        </w:rPr>
        <w:t>where</w:t>
      </w:r>
      <w:r w:rsidR="006477DE" w:rsidRPr="001F7505">
        <w:rPr>
          <w:b w:val="0"/>
          <w:bCs w:val="0"/>
        </w:rPr>
        <w:t xml:space="preserve"> open access has been permitted under section 42, the State Commission shall determine the wheeling charges and surcharge thereon, if any, for the said category of consumers</w:t>
      </w:r>
      <w:r w:rsidR="004C63A2" w:rsidRPr="001F7505">
        <w:rPr>
          <w:b w:val="0"/>
          <w:bCs w:val="0"/>
        </w:rPr>
        <w:t xml:space="preserve"> as outlined </w:t>
      </w:r>
      <w:r w:rsidR="00005B91" w:rsidRPr="001F7505">
        <w:rPr>
          <w:b w:val="0"/>
          <w:bCs w:val="0"/>
        </w:rPr>
        <w:t xml:space="preserve">under section 86 </w:t>
      </w:r>
      <w:r w:rsidR="005D1D3B" w:rsidRPr="001F7505">
        <w:rPr>
          <w:b w:val="0"/>
          <w:bCs w:val="0"/>
        </w:rPr>
        <w:t>o</w:t>
      </w:r>
      <w:r w:rsidR="00005B91" w:rsidRPr="001F7505">
        <w:rPr>
          <w:b w:val="0"/>
          <w:bCs w:val="0"/>
        </w:rPr>
        <w:t>f the Act</w:t>
      </w:r>
      <w:r w:rsidR="006477DE" w:rsidRPr="001F7505">
        <w:rPr>
          <w:b w:val="0"/>
          <w:bCs w:val="0"/>
        </w:rPr>
        <w:t xml:space="preserve">. </w:t>
      </w:r>
      <w:r w:rsidR="00ED143D" w:rsidRPr="001F7505">
        <w:rPr>
          <w:b w:val="0"/>
          <w:bCs w:val="0"/>
        </w:rPr>
        <w:lastRenderedPageBreak/>
        <w:t xml:space="preserve">Accordingly, this application </w:t>
      </w:r>
      <w:r w:rsidR="0020578F" w:rsidRPr="001F7505">
        <w:rPr>
          <w:b w:val="0"/>
          <w:bCs w:val="0"/>
        </w:rPr>
        <w:t>has been</w:t>
      </w:r>
      <w:r w:rsidR="00ED143D" w:rsidRPr="001F7505">
        <w:rPr>
          <w:b w:val="0"/>
          <w:bCs w:val="0"/>
        </w:rPr>
        <w:t xml:space="preserve"> filed along with ARR and tariff application for FY 202</w:t>
      </w:r>
      <w:r w:rsidR="001853FE" w:rsidRPr="001F7505">
        <w:rPr>
          <w:b w:val="0"/>
          <w:bCs w:val="0"/>
        </w:rPr>
        <w:t>4</w:t>
      </w:r>
      <w:r w:rsidR="00ED143D" w:rsidRPr="001F7505">
        <w:rPr>
          <w:b w:val="0"/>
          <w:bCs w:val="0"/>
        </w:rPr>
        <w:t>-2</w:t>
      </w:r>
      <w:r w:rsidR="001853FE" w:rsidRPr="001F7505">
        <w:rPr>
          <w:b w:val="0"/>
          <w:bCs w:val="0"/>
        </w:rPr>
        <w:t>5</w:t>
      </w:r>
      <w:r w:rsidR="00ED143D" w:rsidRPr="001F7505">
        <w:rPr>
          <w:b w:val="0"/>
          <w:bCs w:val="0"/>
        </w:rPr>
        <w:t>.</w:t>
      </w:r>
      <w:r w:rsidR="000F39A0" w:rsidRPr="001F7505">
        <w:rPr>
          <w:b w:val="0"/>
          <w:bCs w:val="0"/>
        </w:rPr>
        <w:t xml:space="preserve"> </w:t>
      </w:r>
    </w:p>
    <w:p w14:paraId="44DFBDA3" w14:textId="545E85D2" w:rsidR="00ED143D" w:rsidRPr="001F7505" w:rsidRDefault="008F37D7" w:rsidP="00CC49D4">
      <w:pPr>
        <w:pStyle w:val="Heading1"/>
        <w:numPr>
          <w:ilvl w:val="0"/>
          <w:numId w:val="12"/>
        </w:numPr>
        <w:tabs>
          <w:tab w:val="left" w:pos="3177"/>
          <w:tab w:val="left" w:pos="4886"/>
          <w:tab w:val="left" w:pos="6652"/>
        </w:tabs>
        <w:spacing w:before="120" w:line="360" w:lineRule="auto"/>
        <w:ind w:left="993" w:right="141" w:hanging="426"/>
        <w:rPr>
          <w:b w:val="0"/>
          <w:bCs w:val="0"/>
        </w:rPr>
      </w:pPr>
      <w:r w:rsidRPr="001F7505">
        <w:rPr>
          <w:b w:val="0"/>
          <w:bCs w:val="0"/>
        </w:rPr>
        <w:t>That, t</w:t>
      </w:r>
      <w:r w:rsidR="00ED143D" w:rsidRPr="001F7505">
        <w:rPr>
          <w:b w:val="0"/>
          <w:bCs w:val="0"/>
        </w:rPr>
        <w:t>he Hon’ble Commission in its Notification dated 2nd November 2020 ha</w:t>
      </w:r>
      <w:r w:rsidR="00E425BF" w:rsidRPr="001F7505">
        <w:rPr>
          <w:b w:val="0"/>
          <w:bCs w:val="0"/>
        </w:rPr>
        <w:t>d</w:t>
      </w:r>
      <w:r w:rsidR="00ED143D" w:rsidRPr="001F7505">
        <w:rPr>
          <w:b w:val="0"/>
          <w:bCs w:val="0"/>
        </w:rPr>
        <w:t xml:space="preserve"> repealed the OERC (Terms and conditions of open access) Regulations, 2005 and OERC (Determination of open access charges) Regulations, 2006, and notified the new Regulations for open access to the intra-state transmission and distribution systems and terms and conditions thereof.</w:t>
      </w:r>
    </w:p>
    <w:p w14:paraId="4CEFB293" w14:textId="77777777" w:rsidR="00343B02" w:rsidRPr="001F7505" w:rsidRDefault="00343B02" w:rsidP="00343B02">
      <w:pPr>
        <w:pStyle w:val="Heading1"/>
        <w:numPr>
          <w:ilvl w:val="0"/>
          <w:numId w:val="22"/>
        </w:numPr>
        <w:tabs>
          <w:tab w:val="left" w:pos="3177"/>
          <w:tab w:val="left" w:pos="4886"/>
          <w:tab w:val="left" w:pos="6652"/>
        </w:tabs>
        <w:spacing w:before="120" w:line="360" w:lineRule="auto"/>
        <w:ind w:left="993" w:right="141" w:hanging="426"/>
        <w:rPr>
          <w:rFonts w:eastAsia="Times New Roman" w:cs="Arial"/>
          <w:b w:val="0"/>
          <w:bCs w:val="0"/>
          <w:lang w:eastAsia="en-IN"/>
        </w:rPr>
      </w:pPr>
      <w:r w:rsidRPr="001F7505">
        <w:rPr>
          <w:rFonts w:eastAsia="Times New Roman" w:cs="Arial"/>
          <w:b w:val="0"/>
          <w:bCs w:val="0"/>
          <w:lang w:eastAsia="en-IN"/>
        </w:rPr>
        <w:t>That, Odisha Renewable Energy Policy, 2022 was notified vide Resolution No. 11757-ENG-HYD-HYDRO-0009/2022/En., dated 30.11.2022 by the Department of Energy, Govt. of Odisha. The Policy aims to achieve the following objectives: -</w:t>
      </w:r>
    </w:p>
    <w:p w14:paraId="22A28181" w14:textId="77777777" w:rsidR="00343B02" w:rsidRPr="001F7505" w:rsidRDefault="00343B02" w:rsidP="00343B02">
      <w:pPr>
        <w:pStyle w:val="ListParagraph"/>
        <w:widowControl/>
        <w:numPr>
          <w:ilvl w:val="1"/>
          <w:numId w:val="22"/>
        </w:numPr>
        <w:autoSpaceDE/>
        <w:autoSpaceDN/>
        <w:spacing w:beforeLines="100" w:before="240" w:afterLines="100" w:after="240" w:line="360" w:lineRule="auto"/>
        <w:jc w:val="both"/>
        <w:rPr>
          <w:rFonts w:eastAsia="Times New Roman" w:cs="Arial"/>
          <w:sz w:val="28"/>
          <w:szCs w:val="28"/>
          <w:lang w:eastAsia="en-IN"/>
        </w:rPr>
      </w:pPr>
      <w:r w:rsidRPr="001F7505">
        <w:rPr>
          <w:sz w:val="24"/>
          <w:szCs w:val="24"/>
        </w:rPr>
        <w:t>To accelerate adoption of clean energy alternatives and decarbonize the energy sector which includes both grid-based electricity consumption and captive consumption of industrial consumers in the State.</w:t>
      </w:r>
    </w:p>
    <w:p w14:paraId="4F4EEC02" w14:textId="77777777" w:rsidR="00343B02" w:rsidRPr="001F7505" w:rsidRDefault="00343B02" w:rsidP="00343B02">
      <w:pPr>
        <w:pStyle w:val="ListParagraph"/>
        <w:widowControl/>
        <w:numPr>
          <w:ilvl w:val="1"/>
          <w:numId w:val="22"/>
        </w:numPr>
        <w:autoSpaceDE/>
        <w:autoSpaceDN/>
        <w:spacing w:beforeLines="100" w:before="240" w:afterLines="100" w:after="240" w:line="360" w:lineRule="auto"/>
        <w:jc w:val="both"/>
        <w:rPr>
          <w:sz w:val="24"/>
          <w:szCs w:val="24"/>
        </w:rPr>
      </w:pPr>
      <w:r w:rsidRPr="001F7505">
        <w:rPr>
          <w:sz w:val="24"/>
          <w:szCs w:val="24"/>
        </w:rPr>
        <w:t>To harness the clean energy potential of the State and make best use of the available resources by facilitating development of green energy projects in the State.</w:t>
      </w:r>
    </w:p>
    <w:p w14:paraId="21C0E0C5" w14:textId="77777777" w:rsidR="00343B02" w:rsidRPr="001F7505" w:rsidRDefault="00343B02" w:rsidP="00343B02">
      <w:pPr>
        <w:pStyle w:val="ListParagraph"/>
        <w:widowControl/>
        <w:numPr>
          <w:ilvl w:val="1"/>
          <w:numId w:val="22"/>
        </w:numPr>
        <w:autoSpaceDE/>
        <w:autoSpaceDN/>
        <w:spacing w:beforeLines="100" w:before="240" w:afterLines="100" w:after="240" w:line="360" w:lineRule="auto"/>
        <w:jc w:val="both"/>
        <w:rPr>
          <w:sz w:val="24"/>
          <w:szCs w:val="24"/>
        </w:rPr>
      </w:pPr>
      <w:r w:rsidRPr="001F7505">
        <w:rPr>
          <w:sz w:val="24"/>
          <w:szCs w:val="24"/>
        </w:rPr>
        <w:t>To attract investment in the clean energy sector, create job opportunities and develop the State economy.</w:t>
      </w:r>
    </w:p>
    <w:p w14:paraId="7F7BA973" w14:textId="77777777" w:rsidR="00343B02" w:rsidRPr="001F7505" w:rsidRDefault="00343B02" w:rsidP="00343B02">
      <w:pPr>
        <w:pStyle w:val="Heading1"/>
        <w:numPr>
          <w:ilvl w:val="0"/>
          <w:numId w:val="22"/>
        </w:numPr>
        <w:tabs>
          <w:tab w:val="left" w:pos="3177"/>
          <w:tab w:val="left" w:pos="4886"/>
          <w:tab w:val="left" w:pos="6652"/>
        </w:tabs>
        <w:spacing w:before="120" w:line="360" w:lineRule="auto"/>
        <w:ind w:left="993" w:right="141" w:hanging="426"/>
        <w:rPr>
          <w:b w:val="0"/>
          <w:bCs w:val="0"/>
        </w:rPr>
      </w:pPr>
      <w:r w:rsidRPr="001F7505">
        <w:rPr>
          <w:b w:val="0"/>
          <w:bCs w:val="0"/>
        </w:rPr>
        <w:t xml:space="preserve">That, accordingly, while determining RST for FY 23-24 by the Hon’ble Commission through public hearing has notified as </w:t>
      </w:r>
      <w:proofErr w:type="gramStart"/>
      <w:r w:rsidRPr="001F7505">
        <w:rPr>
          <w:b w:val="0"/>
          <w:bCs w:val="0"/>
        </w:rPr>
        <w:t>follows:-</w:t>
      </w:r>
      <w:proofErr w:type="gramEnd"/>
    </w:p>
    <w:p w14:paraId="46209058" w14:textId="77777777" w:rsidR="00343B02" w:rsidRPr="001F7505" w:rsidRDefault="00343B02" w:rsidP="00343B02">
      <w:pPr>
        <w:pStyle w:val="ListParagraph"/>
        <w:adjustRightInd w:val="0"/>
        <w:spacing w:line="360" w:lineRule="auto"/>
        <w:ind w:left="1660"/>
        <w:jc w:val="both"/>
        <w:rPr>
          <w:rFonts w:cs="CIDFont+F2"/>
          <w:i/>
          <w:iCs/>
          <w:sz w:val="24"/>
          <w:szCs w:val="25"/>
        </w:rPr>
      </w:pPr>
      <w:r w:rsidRPr="001F7505">
        <w:rPr>
          <w:rFonts w:cs="CIDFont+F2"/>
          <w:i/>
          <w:iCs/>
          <w:sz w:val="24"/>
          <w:szCs w:val="25"/>
        </w:rPr>
        <w:t>Exemption under Odisha renewable Energy Policy 2022:</w:t>
      </w:r>
    </w:p>
    <w:p w14:paraId="6A4E6BA3" w14:textId="77777777" w:rsidR="00343B02" w:rsidRPr="001F7505" w:rsidRDefault="00343B02" w:rsidP="00343B02">
      <w:pPr>
        <w:pStyle w:val="ListParagraph"/>
        <w:adjustRightInd w:val="0"/>
        <w:spacing w:line="360" w:lineRule="auto"/>
        <w:ind w:left="1660"/>
        <w:jc w:val="both"/>
        <w:rPr>
          <w:rFonts w:cs="CIDFont+F1"/>
          <w:i/>
          <w:iCs/>
          <w:sz w:val="24"/>
          <w:szCs w:val="25"/>
        </w:rPr>
      </w:pPr>
      <w:r w:rsidRPr="001F7505">
        <w:rPr>
          <w:rFonts w:cs="CIDFont+F1"/>
          <w:i/>
          <w:iCs/>
          <w:sz w:val="24"/>
          <w:szCs w:val="25"/>
        </w:rPr>
        <w:t>(1) Fifty percent (50%) of Cross-subsidy surcharge are payable by the Open Access consumers, on consumption of energy from RE projects commissioned in the State during the policy period for fifteen (15) years.</w:t>
      </w:r>
    </w:p>
    <w:p w14:paraId="5D844D17" w14:textId="77777777" w:rsidR="00343B02" w:rsidRPr="001F7505" w:rsidRDefault="00343B02" w:rsidP="00343B02">
      <w:pPr>
        <w:pStyle w:val="ListParagraph"/>
        <w:adjustRightInd w:val="0"/>
        <w:spacing w:line="360" w:lineRule="auto"/>
        <w:ind w:left="1660"/>
        <w:jc w:val="both"/>
        <w:rPr>
          <w:rFonts w:cs="CIDFont+F1"/>
          <w:i/>
          <w:iCs/>
          <w:sz w:val="24"/>
          <w:szCs w:val="25"/>
        </w:rPr>
      </w:pPr>
      <w:r w:rsidRPr="001F7505">
        <w:rPr>
          <w:rFonts w:cs="CIDFont+F1"/>
          <w:i/>
          <w:iCs/>
          <w:sz w:val="24"/>
          <w:szCs w:val="25"/>
        </w:rPr>
        <w:t xml:space="preserve">(2)  No Cross-subsidy surcharge </w:t>
      </w:r>
      <w:proofErr w:type="gramStart"/>
      <w:r w:rsidRPr="001F7505">
        <w:rPr>
          <w:rFonts w:cs="CIDFont+F1"/>
          <w:i/>
          <w:iCs/>
          <w:sz w:val="24"/>
          <w:szCs w:val="25"/>
        </w:rPr>
        <w:t>are</w:t>
      </w:r>
      <w:proofErr w:type="gramEnd"/>
      <w:r w:rsidRPr="001F7505">
        <w:rPr>
          <w:rFonts w:cs="CIDFont+F1"/>
          <w:i/>
          <w:iCs/>
          <w:sz w:val="24"/>
          <w:szCs w:val="25"/>
        </w:rPr>
        <w:t xml:space="preserve"> payable by the Industries in the State availing Renewable power from GRIDCO (with GRIDCO acting as a demand aggregator).</w:t>
      </w:r>
    </w:p>
    <w:p w14:paraId="378E5561" w14:textId="77777777" w:rsidR="00343B02" w:rsidRPr="001F7505" w:rsidRDefault="00343B02" w:rsidP="00343B02">
      <w:pPr>
        <w:pStyle w:val="ListParagraph"/>
        <w:adjustRightInd w:val="0"/>
        <w:spacing w:line="360" w:lineRule="auto"/>
        <w:ind w:left="1660"/>
        <w:jc w:val="both"/>
        <w:rPr>
          <w:rFonts w:cs="CIDFont+F1"/>
          <w:i/>
          <w:iCs/>
          <w:sz w:val="24"/>
          <w:szCs w:val="25"/>
        </w:rPr>
      </w:pPr>
      <w:r w:rsidRPr="001F7505">
        <w:rPr>
          <w:rFonts w:cs="CIDFont+F1"/>
          <w:i/>
          <w:iCs/>
          <w:sz w:val="24"/>
          <w:szCs w:val="25"/>
        </w:rPr>
        <w:t xml:space="preserve">(3) 25% wheeling charge is payable by the Captive/ Open Access consumer drawing power from Renewable projects commissioned in the State during </w:t>
      </w:r>
      <w:r w:rsidRPr="001F7505">
        <w:rPr>
          <w:rFonts w:cs="CIDFont+F1"/>
          <w:i/>
          <w:iCs/>
          <w:sz w:val="24"/>
          <w:szCs w:val="25"/>
        </w:rPr>
        <w:lastRenderedPageBreak/>
        <w:t>the during the RE Policy period for Fifteen (15) years.</w:t>
      </w:r>
    </w:p>
    <w:p w14:paraId="6A6E44E6" w14:textId="77777777" w:rsidR="00343B02" w:rsidRPr="001F7505" w:rsidRDefault="00343B02" w:rsidP="00343B02">
      <w:pPr>
        <w:pStyle w:val="ListParagraph"/>
        <w:adjustRightInd w:val="0"/>
        <w:spacing w:line="360" w:lineRule="auto"/>
        <w:ind w:left="1660"/>
        <w:jc w:val="both"/>
        <w:rPr>
          <w:i/>
          <w:iCs/>
          <w:sz w:val="24"/>
          <w:szCs w:val="24"/>
        </w:rPr>
      </w:pPr>
      <w:r w:rsidRPr="001F7505">
        <w:rPr>
          <w:rFonts w:cs="CIDFont+F1"/>
          <w:i/>
          <w:iCs/>
          <w:sz w:val="24"/>
          <w:szCs w:val="25"/>
        </w:rPr>
        <w:t xml:space="preserve">(4) OPTCL shall provide </w:t>
      </w:r>
      <w:proofErr w:type="gramStart"/>
      <w:r w:rsidRPr="001F7505">
        <w:rPr>
          <w:rFonts w:cs="CIDFont+F1"/>
          <w:i/>
          <w:iCs/>
          <w:sz w:val="24"/>
          <w:szCs w:val="25"/>
        </w:rPr>
        <w:t>exemption</w:t>
      </w:r>
      <w:proofErr w:type="gramEnd"/>
      <w:r w:rsidRPr="001F7505">
        <w:rPr>
          <w:rFonts w:cs="CIDFont+F1"/>
          <w:i/>
          <w:iCs/>
          <w:sz w:val="24"/>
          <w:szCs w:val="25"/>
        </w:rPr>
        <w:t xml:space="preserve"> of twenty (20) paise per unit on STU (Transmission) charges to captive/open access consumers on consumption of energy from RE projects commissioned in the State during the policy period for fifteen (15) years. This exemption shall be allowed for five (5) more years in case of projects commissioned before 31.03.2026.</w:t>
      </w:r>
    </w:p>
    <w:p w14:paraId="3A01077D" w14:textId="47A4810B" w:rsidR="00C634B5" w:rsidRPr="001F7505" w:rsidRDefault="00F4334D" w:rsidP="008823F5">
      <w:pPr>
        <w:pStyle w:val="Heading1"/>
        <w:numPr>
          <w:ilvl w:val="0"/>
          <w:numId w:val="12"/>
        </w:numPr>
        <w:tabs>
          <w:tab w:val="left" w:pos="3177"/>
          <w:tab w:val="left" w:pos="4886"/>
          <w:tab w:val="left" w:pos="6652"/>
        </w:tabs>
        <w:spacing w:before="120" w:line="360" w:lineRule="auto"/>
        <w:ind w:left="993" w:right="141" w:hanging="426"/>
        <w:rPr>
          <w:b w:val="0"/>
          <w:bCs w:val="0"/>
        </w:rPr>
      </w:pPr>
      <w:r w:rsidRPr="001F7505">
        <w:rPr>
          <w:b w:val="0"/>
          <w:bCs w:val="0"/>
        </w:rPr>
        <w:t xml:space="preserve">That, </w:t>
      </w:r>
      <w:r w:rsidR="00CB3F05" w:rsidRPr="001F7505">
        <w:rPr>
          <w:b w:val="0"/>
          <w:bCs w:val="0"/>
        </w:rPr>
        <w:t xml:space="preserve">the </w:t>
      </w:r>
      <w:r w:rsidRPr="001F7505">
        <w:rPr>
          <w:b w:val="0"/>
          <w:bCs w:val="0"/>
        </w:rPr>
        <w:t>Ministry of Power, Govt. of India</w:t>
      </w:r>
      <w:r w:rsidR="00334E14" w:rsidRPr="001F7505">
        <w:rPr>
          <w:b w:val="0"/>
          <w:bCs w:val="0"/>
        </w:rPr>
        <w:t>,</w:t>
      </w:r>
      <w:r w:rsidRPr="001F7505">
        <w:rPr>
          <w:b w:val="0"/>
          <w:bCs w:val="0"/>
        </w:rPr>
        <w:t xml:space="preserve"> </w:t>
      </w:r>
      <w:r w:rsidR="000C1598" w:rsidRPr="001F7505">
        <w:rPr>
          <w:b w:val="0"/>
          <w:bCs w:val="0"/>
        </w:rPr>
        <w:t>vide their notification dated 06.06.2022</w:t>
      </w:r>
      <w:r w:rsidR="00334E14" w:rsidRPr="001F7505">
        <w:rPr>
          <w:b w:val="0"/>
          <w:bCs w:val="0"/>
        </w:rPr>
        <w:t xml:space="preserve"> notified </w:t>
      </w:r>
      <w:r w:rsidR="003A6449" w:rsidRPr="001F7505">
        <w:rPr>
          <w:b w:val="0"/>
          <w:bCs w:val="0"/>
        </w:rPr>
        <w:t>the rule namely Electricity (Promoting Renewable Energy Through Green Energy Open Access) Rules, 2022.</w:t>
      </w:r>
      <w:r w:rsidR="0067174C" w:rsidRPr="001F7505">
        <w:rPr>
          <w:b w:val="0"/>
          <w:bCs w:val="0"/>
        </w:rPr>
        <w:t xml:space="preserve"> </w:t>
      </w:r>
      <w:r w:rsidR="00C614BE" w:rsidRPr="001F7505">
        <w:rPr>
          <w:b w:val="0"/>
          <w:bCs w:val="0"/>
        </w:rPr>
        <w:t>The first amendment was notified on 27.01.2023 aiming to provide more clarity in the aforesaid rule, particularly in terms of pricing mechanisms and accessibility.</w:t>
      </w:r>
      <w:r w:rsidR="00C614BE" w:rsidRPr="001F7505">
        <w:rPr>
          <w:rFonts w:ascii="Segoe UI" w:hAnsi="Segoe UI" w:cs="Segoe UI"/>
          <w:color w:val="0F0F0F"/>
        </w:rPr>
        <w:t xml:space="preserve"> </w:t>
      </w:r>
      <w:r w:rsidR="00C614BE" w:rsidRPr="001F7505">
        <w:rPr>
          <w:b w:val="0"/>
          <w:bCs w:val="0"/>
        </w:rPr>
        <w:t xml:space="preserve"> The subsequent amendment dated 23.03.2023 has been issued by the </w:t>
      </w:r>
      <w:proofErr w:type="spellStart"/>
      <w:r w:rsidR="00C614BE" w:rsidRPr="001F7505">
        <w:rPr>
          <w:b w:val="0"/>
          <w:bCs w:val="0"/>
        </w:rPr>
        <w:t>MoP</w:t>
      </w:r>
      <w:proofErr w:type="spellEnd"/>
      <w:r w:rsidR="00C614BE" w:rsidRPr="001F7505">
        <w:rPr>
          <w:b w:val="0"/>
          <w:bCs w:val="0"/>
        </w:rPr>
        <w:t xml:space="preserve">, </w:t>
      </w:r>
      <w:proofErr w:type="spellStart"/>
      <w:r w:rsidR="00C614BE" w:rsidRPr="001F7505">
        <w:rPr>
          <w:b w:val="0"/>
          <w:bCs w:val="0"/>
        </w:rPr>
        <w:t>GoI</w:t>
      </w:r>
      <w:proofErr w:type="spellEnd"/>
      <w:r w:rsidR="00C614BE" w:rsidRPr="001F7505">
        <w:rPr>
          <w:b w:val="0"/>
          <w:bCs w:val="0"/>
        </w:rPr>
        <w:t xml:space="preserve"> for addressing technical aspects and operational efficiency. This amendment aimed to make it simpler for these projects to connect and contribute to the main power grid, facilitating smoother integration of renewable energy into the broader energy infrastructure.</w:t>
      </w:r>
      <w:r w:rsidR="008823F5" w:rsidRPr="001F7505">
        <w:rPr>
          <w:b w:val="0"/>
          <w:bCs w:val="0"/>
        </w:rPr>
        <w:t xml:space="preserve"> </w:t>
      </w:r>
      <w:r w:rsidR="00C634B5" w:rsidRPr="001F7505">
        <w:rPr>
          <w:b w:val="0"/>
          <w:bCs w:val="0"/>
        </w:rPr>
        <w:t>wherein it has been mentioned that</w:t>
      </w:r>
      <w:r w:rsidR="00334943" w:rsidRPr="001F7505">
        <w:rPr>
          <w:b w:val="0"/>
          <w:bCs w:val="0"/>
        </w:rPr>
        <w:t>-</w:t>
      </w:r>
    </w:p>
    <w:p w14:paraId="5489135C" w14:textId="77777777" w:rsidR="00C634B5" w:rsidRPr="001F7505" w:rsidRDefault="00C634B5" w:rsidP="00334943">
      <w:pPr>
        <w:pStyle w:val="ListParagraph"/>
        <w:spacing w:beforeLines="100" w:before="240" w:afterLines="100" w:after="240" w:line="360" w:lineRule="auto"/>
        <w:ind w:left="993"/>
        <w:jc w:val="both"/>
        <w:rPr>
          <w:i/>
          <w:iCs/>
          <w:sz w:val="24"/>
          <w:szCs w:val="24"/>
        </w:rPr>
      </w:pPr>
      <w:r w:rsidRPr="001F7505">
        <w:rPr>
          <w:i/>
          <w:iCs/>
          <w:sz w:val="24"/>
          <w:szCs w:val="24"/>
        </w:rPr>
        <w:t>“(1) The charges to be levied on Green Energy Open Access consumers shall be as follows, namely: -</w:t>
      </w:r>
    </w:p>
    <w:p w14:paraId="29B89F2B" w14:textId="77777777" w:rsidR="00C634B5" w:rsidRPr="001F7505" w:rsidRDefault="00C634B5" w:rsidP="00334943">
      <w:pPr>
        <w:pStyle w:val="ListParagraph"/>
        <w:spacing w:beforeLines="100" w:before="240" w:afterLines="100" w:after="240" w:line="360" w:lineRule="auto"/>
        <w:ind w:left="2160"/>
        <w:jc w:val="both"/>
        <w:rPr>
          <w:i/>
          <w:iCs/>
          <w:sz w:val="24"/>
          <w:szCs w:val="24"/>
        </w:rPr>
      </w:pPr>
      <w:r w:rsidRPr="001F7505">
        <w:rPr>
          <w:i/>
          <w:iCs/>
          <w:sz w:val="24"/>
          <w:szCs w:val="24"/>
        </w:rPr>
        <w:t xml:space="preserve">(a) transmission </w:t>
      </w:r>
      <w:proofErr w:type="gramStart"/>
      <w:r w:rsidRPr="001F7505">
        <w:rPr>
          <w:i/>
          <w:iCs/>
          <w:sz w:val="24"/>
          <w:szCs w:val="24"/>
        </w:rPr>
        <w:t>charges;</w:t>
      </w:r>
      <w:proofErr w:type="gramEnd"/>
      <w:r w:rsidRPr="001F7505">
        <w:rPr>
          <w:i/>
          <w:iCs/>
          <w:sz w:val="24"/>
          <w:szCs w:val="24"/>
        </w:rPr>
        <w:t xml:space="preserve"> </w:t>
      </w:r>
    </w:p>
    <w:p w14:paraId="2ABEF9EE" w14:textId="77777777" w:rsidR="00C634B5" w:rsidRPr="001F7505" w:rsidRDefault="00C634B5" w:rsidP="00334943">
      <w:pPr>
        <w:pStyle w:val="ListParagraph"/>
        <w:spacing w:beforeLines="100" w:before="240" w:afterLines="100" w:after="240" w:line="360" w:lineRule="auto"/>
        <w:ind w:left="2160"/>
        <w:jc w:val="both"/>
        <w:rPr>
          <w:i/>
          <w:iCs/>
          <w:sz w:val="24"/>
          <w:szCs w:val="24"/>
        </w:rPr>
      </w:pPr>
      <w:r w:rsidRPr="001F7505">
        <w:rPr>
          <w:i/>
          <w:iCs/>
          <w:sz w:val="24"/>
          <w:szCs w:val="24"/>
        </w:rPr>
        <w:t xml:space="preserve">(b) wheeling </w:t>
      </w:r>
      <w:proofErr w:type="gramStart"/>
      <w:r w:rsidRPr="001F7505">
        <w:rPr>
          <w:i/>
          <w:iCs/>
          <w:sz w:val="24"/>
          <w:szCs w:val="24"/>
        </w:rPr>
        <w:t>charges;</w:t>
      </w:r>
      <w:proofErr w:type="gramEnd"/>
      <w:r w:rsidRPr="001F7505">
        <w:rPr>
          <w:i/>
          <w:iCs/>
          <w:sz w:val="24"/>
          <w:szCs w:val="24"/>
        </w:rPr>
        <w:t xml:space="preserve"> </w:t>
      </w:r>
    </w:p>
    <w:p w14:paraId="7B86F9F9" w14:textId="77777777" w:rsidR="00C634B5" w:rsidRPr="001F7505" w:rsidRDefault="00C634B5" w:rsidP="00334943">
      <w:pPr>
        <w:pStyle w:val="ListParagraph"/>
        <w:spacing w:beforeLines="100" w:before="240" w:afterLines="100" w:after="240" w:line="360" w:lineRule="auto"/>
        <w:ind w:left="2160"/>
        <w:jc w:val="both"/>
        <w:rPr>
          <w:i/>
          <w:iCs/>
          <w:sz w:val="24"/>
          <w:szCs w:val="24"/>
        </w:rPr>
      </w:pPr>
      <w:r w:rsidRPr="001F7505">
        <w:rPr>
          <w:i/>
          <w:iCs/>
          <w:sz w:val="24"/>
          <w:szCs w:val="24"/>
        </w:rPr>
        <w:t xml:space="preserve">(c) cross subsidy </w:t>
      </w:r>
      <w:proofErr w:type="gramStart"/>
      <w:r w:rsidRPr="001F7505">
        <w:rPr>
          <w:i/>
          <w:iCs/>
          <w:sz w:val="24"/>
          <w:szCs w:val="24"/>
        </w:rPr>
        <w:t>Surcharge;</w:t>
      </w:r>
      <w:proofErr w:type="gramEnd"/>
      <w:r w:rsidRPr="001F7505">
        <w:rPr>
          <w:i/>
          <w:iCs/>
          <w:sz w:val="24"/>
          <w:szCs w:val="24"/>
        </w:rPr>
        <w:t xml:space="preserve"> </w:t>
      </w:r>
    </w:p>
    <w:p w14:paraId="0430AF7C" w14:textId="77777777" w:rsidR="00C634B5" w:rsidRPr="001F7505" w:rsidRDefault="00C634B5" w:rsidP="00334943">
      <w:pPr>
        <w:pStyle w:val="ListParagraph"/>
        <w:spacing w:beforeLines="100" w:before="240" w:afterLines="100" w:after="240" w:line="360" w:lineRule="auto"/>
        <w:ind w:left="2160"/>
        <w:jc w:val="both"/>
        <w:rPr>
          <w:i/>
          <w:iCs/>
          <w:sz w:val="24"/>
          <w:szCs w:val="24"/>
        </w:rPr>
      </w:pPr>
      <w:r w:rsidRPr="001F7505">
        <w:rPr>
          <w:i/>
          <w:iCs/>
          <w:sz w:val="24"/>
          <w:szCs w:val="24"/>
        </w:rPr>
        <w:t xml:space="preserve">(d) standby charges wherever </w:t>
      </w:r>
      <w:proofErr w:type="gramStart"/>
      <w:r w:rsidRPr="001F7505">
        <w:rPr>
          <w:i/>
          <w:iCs/>
          <w:sz w:val="24"/>
          <w:szCs w:val="24"/>
        </w:rPr>
        <w:t>applicable;</w:t>
      </w:r>
      <w:proofErr w:type="gramEnd"/>
      <w:r w:rsidRPr="001F7505">
        <w:rPr>
          <w:i/>
          <w:iCs/>
          <w:sz w:val="24"/>
          <w:szCs w:val="24"/>
        </w:rPr>
        <w:t xml:space="preserve"> </w:t>
      </w:r>
    </w:p>
    <w:p w14:paraId="5AC8DC6C" w14:textId="77777777" w:rsidR="00C634B5" w:rsidRPr="001F7505" w:rsidRDefault="00C634B5" w:rsidP="00334943">
      <w:pPr>
        <w:pStyle w:val="ListParagraph"/>
        <w:spacing w:beforeLines="100" w:before="240" w:afterLines="100" w:after="240" w:line="360" w:lineRule="auto"/>
        <w:ind w:left="2160"/>
        <w:jc w:val="both"/>
        <w:rPr>
          <w:i/>
          <w:iCs/>
          <w:sz w:val="24"/>
          <w:szCs w:val="24"/>
        </w:rPr>
      </w:pPr>
      <w:r w:rsidRPr="001F7505">
        <w:rPr>
          <w:i/>
          <w:iCs/>
          <w:sz w:val="24"/>
          <w:szCs w:val="24"/>
        </w:rPr>
        <w:t xml:space="preserve">(e) banking Charge; and </w:t>
      </w:r>
    </w:p>
    <w:p w14:paraId="66BCF3CC" w14:textId="77777777" w:rsidR="00C634B5" w:rsidRPr="001F7505" w:rsidRDefault="00C634B5" w:rsidP="00334943">
      <w:pPr>
        <w:pStyle w:val="ListParagraph"/>
        <w:spacing w:beforeLines="100" w:before="240" w:afterLines="100" w:after="240" w:line="360" w:lineRule="auto"/>
        <w:ind w:left="2160"/>
        <w:jc w:val="both"/>
        <w:rPr>
          <w:i/>
          <w:iCs/>
          <w:sz w:val="24"/>
          <w:szCs w:val="24"/>
        </w:rPr>
      </w:pPr>
      <w:r w:rsidRPr="001F7505">
        <w:rPr>
          <w:i/>
          <w:iCs/>
          <w:sz w:val="24"/>
          <w:szCs w:val="24"/>
        </w:rPr>
        <w:t xml:space="preserve">(f) other fees and charges such as Load </w:t>
      </w:r>
      <w:proofErr w:type="spellStart"/>
      <w:r w:rsidRPr="001F7505">
        <w:rPr>
          <w:i/>
          <w:iCs/>
          <w:sz w:val="24"/>
          <w:szCs w:val="24"/>
        </w:rPr>
        <w:t>Despatch</w:t>
      </w:r>
      <w:proofErr w:type="spellEnd"/>
      <w:r w:rsidRPr="001F7505">
        <w:rPr>
          <w:i/>
          <w:iCs/>
          <w:sz w:val="24"/>
          <w:szCs w:val="24"/>
        </w:rPr>
        <w:t xml:space="preserve"> Centre fees and scheduling charges, deviation settlement charges as per the relevant regulations of the Commission.”</w:t>
      </w:r>
    </w:p>
    <w:p w14:paraId="4BC44D7C" w14:textId="77A3FCAB" w:rsidR="00CF30C7" w:rsidRPr="001F7505" w:rsidRDefault="00C614BE" w:rsidP="00005E13">
      <w:pPr>
        <w:pStyle w:val="Heading1"/>
        <w:numPr>
          <w:ilvl w:val="0"/>
          <w:numId w:val="12"/>
        </w:numPr>
        <w:tabs>
          <w:tab w:val="left" w:pos="3177"/>
          <w:tab w:val="left" w:pos="4886"/>
          <w:tab w:val="left" w:pos="6652"/>
        </w:tabs>
        <w:spacing w:before="120" w:line="360" w:lineRule="auto"/>
        <w:ind w:left="993" w:right="141" w:hanging="426"/>
        <w:rPr>
          <w:b w:val="0"/>
          <w:bCs w:val="0"/>
        </w:rPr>
      </w:pPr>
      <w:r w:rsidRPr="001F7505">
        <w:rPr>
          <w:b w:val="0"/>
          <w:bCs w:val="0"/>
        </w:rPr>
        <w:t>Tha</w:t>
      </w:r>
      <w:r w:rsidR="006A2E47" w:rsidRPr="001F7505">
        <w:rPr>
          <w:b w:val="0"/>
          <w:bCs w:val="0"/>
        </w:rPr>
        <w:t>t,</w:t>
      </w:r>
      <w:r w:rsidR="00AF007D" w:rsidRPr="001F7505">
        <w:rPr>
          <w:b w:val="0"/>
          <w:bCs w:val="0"/>
        </w:rPr>
        <w:t xml:space="preserve"> </w:t>
      </w:r>
      <w:r w:rsidR="006A2E47" w:rsidRPr="001F7505">
        <w:rPr>
          <w:b w:val="0"/>
          <w:bCs w:val="0"/>
        </w:rPr>
        <w:t xml:space="preserve">the aforesaid rule </w:t>
      </w:r>
      <w:r w:rsidR="000D4BC7" w:rsidRPr="001F7505">
        <w:rPr>
          <w:b w:val="0"/>
          <w:bCs w:val="0"/>
        </w:rPr>
        <w:t xml:space="preserve">will </w:t>
      </w:r>
      <w:r w:rsidR="00AF007D" w:rsidRPr="001F7505">
        <w:rPr>
          <w:b w:val="0"/>
          <w:bCs w:val="0"/>
        </w:rPr>
        <w:t>allow</w:t>
      </w:r>
      <w:r w:rsidR="0067174C" w:rsidRPr="001F7505">
        <w:rPr>
          <w:b w:val="0"/>
          <w:bCs w:val="0"/>
        </w:rPr>
        <w:t xml:space="preserve"> consumers, such as businesses or individuals, to directly purchase green energy from renewable power generators, like solar or wind farms, </w:t>
      </w:r>
      <w:r w:rsidR="000A1F0E" w:rsidRPr="001F7505">
        <w:rPr>
          <w:b w:val="0"/>
          <w:bCs w:val="0"/>
        </w:rPr>
        <w:t xml:space="preserve">or any other </w:t>
      </w:r>
      <w:r w:rsidR="00403781" w:rsidRPr="001F7505">
        <w:rPr>
          <w:b w:val="0"/>
          <w:bCs w:val="0"/>
        </w:rPr>
        <w:t>through</w:t>
      </w:r>
      <w:r w:rsidR="00D240C7" w:rsidRPr="001F7505">
        <w:rPr>
          <w:b w:val="0"/>
          <w:bCs w:val="0"/>
        </w:rPr>
        <w:t xml:space="preserve"> Open Acce</w:t>
      </w:r>
      <w:r w:rsidR="00403781" w:rsidRPr="001F7505">
        <w:rPr>
          <w:b w:val="0"/>
          <w:bCs w:val="0"/>
        </w:rPr>
        <w:t>ss Mechanism</w:t>
      </w:r>
      <w:r w:rsidR="0067174C" w:rsidRPr="001F7505">
        <w:rPr>
          <w:b w:val="0"/>
          <w:bCs w:val="0"/>
        </w:rPr>
        <w:t xml:space="preserve">. </w:t>
      </w:r>
      <w:r w:rsidR="009F2AEA" w:rsidRPr="001F7505">
        <w:rPr>
          <w:b w:val="0"/>
          <w:bCs w:val="0"/>
        </w:rPr>
        <w:t>A</w:t>
      </w:r>
      <w:r w:rsidR="00CF30C7" w:rsidRPr="001F7505">
        <w:rPr>
          <w:b w:val="0"/>
          <w:bCs w:val="0"/>
        </w:rPr>
        <w:t>ny entity</w:t>
      </w:r>
      <w:r w:rsidR="006E15BC" w:rsidRPr="001F7505">
        <w:rPr>
          <w:b w:val="0"/>
          <w:bCs w:val="0"/>
        </w:rPr>
        <w:t xml:space="preserve"> who has contracted demand or sanctioned load of 100 kW or more</w:t>
      </w:r>
      <w:r w:rsidR="00CF30C7" w:rsidRPr="001F7505">
        <w:rPr>
          <w:b w:val="0"/>
          <w:bCs w:val="0"/>
        </w:rPr>
        <w:t xml:space="preserve"> whether obligated or not may elect to generate, purchase and </w:t>
      </w:r>
      <w:r w:rsidR="00CF30C7" w:rsidRPr="001F7505">
        <w:rPr>
          <w:b w:val="0"/>
          <w:bCs w:val="0"/>
        </w:rPr>
        <w:lastRenderedPageBreak/>
        <w:t xml:space="preserve">consume renewable energy as per their requirements by </w:t>
      </w:r>
      <w:r w:rsidR="00BC7D05" w:rsidRPr="001F7505">
        <w:rPr>
          <w:b w:val="0"/>
          <w:bCs w:val="0"/>
        </w:rPr>
        <w:t>t</w:t>
      </w:r>
      <w:r w:rsidR="00CF30C7" w:rsidRPr="001F7505">
        <w:rPr>
          <w:b w:val="0"/>
          <w:bCs w:val="0"/>
        </w:rPr>
        <w:t xml:space="preserve">he following </w:t>
      </w:r>
      <w:proofErr w:type="gramStart"/>
      <w:r w:rsidR="00CF30C7" w:rsidRPr="001F7505">
        <w:rPr>
          <w:b w:val="0"/>
          <w:bCs w:val="0"/>
        </w:rPr>
        <w:t>methods:-</w:t>
      </w:r>
      <w:proofErr w:type="gramEnd"/>
    </w:p>
    <w:p w14:paraId="4304D5BB" w14:textId="77777777" w:rsidR="002D4087" w:rsidRPr="001F7505" w:rsidRDefault="00783527" w:rsidP="00444C2D">
      <w:pPr>
        <w:pStyle w:val="Heading1"/>
        <w:numPr>
          <w:ilvl w:val="1"/>
          <w:numId w:val="22"/>
        </w:numPr>
        <w:tabs>
          <w:tab w:val="left" w:pos="3177"/>
          <w:tab w:val="left" w:pos="4886"/>
          <w:tab w:val="left" w:pos="6652"/>
        </w:tabs>
        <w:spacing w:before="120" w:line="360" w:lineRule="auto"/>
        <w:ind w:right="141"/>
        <w:rPr>
          <w:b w:val="0"/>
          <w:bCs w:val="0"/>
        </w:rPr>
      </w:pPr>
      <w:r w:rsidRPr="001F7505">
        <w:rPr>
          <w:rFonts w:eastAsiaTheme="minorHAnsi" w:cs="Times New Roman"/>
          <w:b w:val="0"/>
          <w:bCs w:val="0"/>
          <w:lang w:val="en-IN"/>
        </w:rPr>
        <w:t>Own Generation from renewable energy sources</w:t>
      </w:r>
    </w:p>
    <w:p w14:paraId="57845FEA" w14:textId="4D1418E8" w:rsidR="00783527" w:rsidRPr="001F7505" w:rsidRDefault="002D4087" w:rsidP="00444C2D">
      <w:pPr>
        <w:pStyle w:val="Heading1"/>
        <w:numPr>
          <w:ilvl w:val="1"/>
          <w:numId w:val="22"/>
        </w:numPr>
        <w:tabs>
          <w:tab w:val="left" w:pos="3177"/>
          <w:tab w:val="left" w:pos="4886"/>
          <w:tab w:val="left" w:pos="6652"/>
        </w:tabs>
        <w:spacing w:before="120" w:line="360" w:lineRule="auto"/>
        <w:ind w:right="141"/>
        <w:rPr>
          <w:b w:val="0"/>
          <w:bCs w:val="0"/>
        </w:rPr>
      </w:pPr>
      <w:r w:rsidRPr="001F7505">
        <w:rPr>
          <w:rFonts w:eastAsiaTheme="minorHAnsi" w:cs="Times New Roman"/>
          <w:b w:val="0"/>
          <w:bCs w:val="0"/>
          <w:lang w:val="en-IN"/>
        </w:rPr>
        <w:t>By procuring Renewable Energy through Open Access from any Developer either directly or through a trading licensee</w:t>
      </w:r>
      <w:r w:rsidR="00D807B7" w:rsidRPr="001F7505">
        <w:rPr>
          <w:rFonts w:eastAsiaTheme="minorHAnsi" w:cs="Times New Roman"/>
          <w:b w:val="0"/>
          <w:bCs w:val="0"/>
          <w:lang w:val="en-IN"/>
        </w:rPr>
        <w:t xml:space="preserve"> </w:t>
      </w:r>
      <w:r w:rsidRPr="001F7505">
        <w:rPr>
          <w:rFonts w:eastAsiaTheme="minorHAnsi" w:cs="Times New Roman"/>
          <w:b w:val="0"/>
          <w:bCs w:val="0"/>
          <w:lang w:val="en-IN"/>
        </w:rPr>
        <w:t>or through power markets.</w:t>
      </w:r>
    </w:p>
    <w:p w14:paraId="047A647A" w14:textId="08FD2968" w:rsidR="00A04FF4" w:rsidRPr="001F7505" w:rsidRDefault="00A04FF4" w:rsidP="00444C2D">
      <w:pPr>
        <w:pStyle w:val="Heading1"/>
        <w:numPr>
          <w:ilvl w:val="1"/>
          <w:numId w:val="22"/>
        </w:numPr>
        <w:tabs>
          <w:tab w:val="left" w:pos="3177"/>
          <w:tab w:val="left" w:pos="4886"/>
          <w:tab w:val="left" w:pos="6652"/>
        </w:tabs>
        <w:spacing w:before="120" w:line="360" w:lineRule="auto"/>
        <w:ind w:right="141"/>
        <w:rPr>
          <w:b w:val="0"/>
          <w:bCs w:val="0"/>
        </w:rPr>
      </w:pPr>
      <w:r w:rsidRPr="001F7505">
        <w:rPr>
          <w:rFonts w:eastAsiaTheme="minorHAnsi" w:cs="Times New Roman"/>
          <w:b w:val="0"/>
          <w:bCs w:val="0"/>
          <w:lang w:val="en-IN"/>
        </w:rPr>
        <w:t>By requisition from distribution licensee</w:t>
      </w:r>
    </w:p>
    <w:p w14:paraId="06A0EE03" w14:textId="77B562D2" w:rsidR="002C525F" w:rsidRPr="001F7505" w:rsidRDefault="002C525F" w:rsidP="00444C2D">
      <w:pPr>
        <w:pStyle w:val="Heading1"/>
        <w:numPr>
          <w:ilvl w:val="1"/>
          <w:numId w:val="22"/>
        </w:numPr>
        <w:tabs>
          <w:tab w:val="left" w:pos="3177"/>
          <w:tab w:val="left" w:pos="4886"/>
          <w:tab w:val="left" w:pos="6652"/>
        </w:tabs>
        <w:spacing w:before="120" w:line="360" w:lineRule="auto"/>
        <w:ind w:right="141"/>
        <w:rPr>
          <w:b w:val="0"/>
          <w:bCs w:val="0"/>
        </w:rPr>
      </w:pPr>
      <w:r w:rsidRPr="001F7505">
        <w:rPr>
          <w:rFonts w:eastAsiaTheme="minorHAnsi" w:cs="Times New Roman"/>
          <w:b w:val="0"/>
          <w:bCs w:val="0"/>
          <w:lang w:val="en-IN"/>
        </w:rPr>
        <w:t>By consuming green energy from captive power plant</w:t>
      </w:r>
    </w:p>
    <w:p w14:paraId="16488FAB" w14:textId="6D9C02D5" w:rsidR="002C525F" w:rsidRPr="001F7505" w:rsidRDefault="002C525F" w:rsidP="00444C2D">
      <w:pPr>
        <w:pStyle w:val="Heading1"/>
        <w:numPr>
          <w:ilvl w:val="1"/>
          <w:numId w:val="22"/>
        </w:numPr>
        <w:tabs>
          <w:tab w:val="left" w:pos="3177"/>
          <w:tab w:val="left" w:pos="4886"/>
          <w:tab w:val="left" w:pos="6652"/>
        </w:tabs>
        <w:spacing w:before="120" w:line="360" w:lineRule="auto"/>
        <w:ind w:right="141"/>
        <w:rPr>
          <w:b w:val="0"/>
          <w:bCs w:val="0"/>
        </w:rPr>
      </w:pPr>
      <w:r w:rsidRPr="001F7505">
        <w:rPr>
          <w:rFonts w:eastAsiaTheme="minorHAnsi" w:cs="Times New Roman"/>
          <w:b w:val="0"/>
          <w:bCs w:val="0"/>
          <w:lang w:val="en-IN"/>
        </w:rPr>
        <w:t>By purchasing of renewable energy certificates</w:t>
      </w:r>
    </w:p>
    <w:p w14:paraId="4D0416CC" w14:textId="16ED1EA7" w:rsidR="00F03643" w:rsidRPr="001F7505" w:rsidRDefault="00F03643" w:rsidP="006C3710">
      <w:pPr>
        <w:pStyle w:val="Heading1"/>
        <w:numPr>
          <w:ilvl w:val="0"/>
          <w:numId w:val="12"/>
        </w:numPr>
        <w:tabs>
          <w:tab w:val="left" w:pos="3177"/>
          <w:tab w:val="left" w:pos="4886"/>
          <w:tab w:val="left" w:pos="6652"/>
        </w:tabs>
        <w:spacing w:before="120" w:line="360" w:lineRule="auto"/>
        <w:ind w:left="993" w:right="141" w:hanging="426"/>
        <w:rPr>
          <w:rFonts w:ascii="Times New Roman" w:eastAsiaTheme="minorHAnsi" w:hAnsi="Times New Roman" w:cs="Times New Roman"/>
          <w:b w:val="0"/>
          <w:bCs w:val="0"/>
          <w:lang w:val="en-IN"/>
        </w:rPr>
      </w:pPr>
      <w:r w:rsidRPr="001F7505">
        <w:rPr>
          <w:b w:val="0"/>
          <w:bCs w:val="0"/>
        </w:rPr>
        <w:t xml:space="preserve">That, in line with the above the Hon’ble Commission has prepared the draft </w:t>
      </w:r>
      <w:r w:rsidRPr="001F7505">
        <w:rPr>
          <w:rFonts w:ascii="TimesNewRomanPSMT" w:eastAsiaTheme="minorHAnsi" w:hAnsi="TimesNewRomanPSMT" w:cs="TimesNewRomanPSMT"/>
          <w:b w:val="0"/>
          <w:bCs w:val="0"/>
          <w:lang w:val="en-IN"/>
        </w:rPr>
        <w:t xml:space="preserve">Odisha Electricity Regulatory Commission (Promotion of Renewable Energy through Green Energy Open Access) Regulations, 2023. The applicant furnished </w:t>
      </w:r>
      <w:r w:rsidR="003537D2" w:rsidRPr="001F7505">
        <w:rPr>
          <w:rFonts w:ascii="TimesNewRomanPSMT" w:eastAsiaTheme="minorHAnsi" w:hAnsi="TimesNewRomanPSMT" w:cs="TimesNewRomanPSMT"/>
          <w:b w:val="0"/>
          <w:bCs w:val="0"/>
          <w:lang w:val="en-IN"/>
        </w:rPr>
        <w:t xml:space="preserve">its </w:t>
      </w:r>
      <w:r w:rsidRPr="001F7505">
        <w:rPr>
          <w:rFonts w:ascii="TimesNewRomanPSMT" w:eastAsiaTheme="minorHAnsi" w:hAnsi="TimesNewRomanPSMT" w:cs="TimesNewRomanPSMT"/>
          <w:b w:val="0"/>
          <w:bCs w:val="0"/>
          <w:lang w:val="en-IN"/>
        </w:rPr>
        <w:t xml:space="preserve">comments/views/suggestions on the draft regulation vide its letter TPWODL/RA&amp;S/2023/108 dated 24.08.2023 for </w:t>
      </w:r>
      <w:r w:rsidR="0069426E" w:rsidRPr="001F7505">
        <w:rPr>
          <w:rFonts w:ascii="TimesNewRomanPSMT" w:eastAsiaTheme="minorHAnsi" w:hAnsi="TimesNewRomanPSMT" w:cs="TimesNewRomanPSMT"/>
          <w:b w:val="0"/>
          <w:bCs w:val="0"/>
          <w:lang w:val="en-IN"/>
        </w:rPr>
        <w:t xml:space="preserve">the </w:t>
      </w:r>
      <w:r w:rsidRPr="001F7505">
        <w:rPr>
          <w:rFonts w:ascii="TimesNewRomanPSMT" w:eastAsiaTheme="minorHAnsi" w:hAnsi="TimesNewRomanPSMT" w:cs="TimesNewRomanPSMT"/>
          <w:b w:val="0"/>
          <w:bCs w:val="0"/>
          <w:lang w:val="en-IN"/>
        </w:rPr>
        <w:t>kind consideration of the Hon’ble Commission.</w:t>
      </w:r>
      <w:r w:rsidR="003537D2" w:rsidRPr="001F7505">
        <w:rPr>
          <w:rFonts w:ascii="TimesNewRomanPSMT" w:eastAsiaTheme="minorHAnsi" w:hAnsi="TimesNewRomanPSMT" w:cs="TimesNewRomanPSMT"/>
          <w:b w:val="0"/>
          <w:bCs w:val="0"/>
          <w:lang w:val="en-IN"/>
        </w:rPr>
        <w:t xml:space="preserve"> However, the regulation is yet to be notified.</w:t>
      </w:r>
    </w:p>
    <w:p w14:paraId="7438907A" w14:textId="4A754AC0" w:rsidR="00021EB6" w:rsidRPr="001F7505" w:rsidRDefault="00CF19A6" w:rsidP="00C72E6E">
      <w:pPr>
        <w:pStyle w:val="Heading1"/>
        <w:numPr>
          <w:ilvl w:val="0"/>
          <w:numId w:val="12"/>
        </w:numPr>
        <w:tabs>
          <w:tab w:val="left" w:pos="3177"/>
          <w:tab w:val="left" w:pos="4886"/>
          <w:tab w:val="left" w:pos="6652"/>
        </w:tabs>
        <w:spacing w:before="120" w:line="360" w:lineRule="auto"/>
        <w:ind w:left="993" w:right="141" w:hanging="426"/>
        <w:rPr>
          <w:b w:val="0"/>
          <w:bCs w:val="0"/>
        </w:rPr>
      </w:pPr>
      <w:r w:rsidRPr="001F7505">
        <w:rPr>
          <w:rFonts w:ascii="TimesNewRomanPSMT" w:eastAsiaTheme="minorHAnsi" w:hAnsi="TimesNewRomanPSMT" w:cs="TimesNewRomanPSMT"/>
          <w:b w:val="0"/>
          <w:bCs w:val="0"/>
          <w:lang w:val="en-IN"/>
        </w:rPr>
        <w:t xml:space="preserve">That, </w:t>
      </w:r>
      <w:r w:rsidR="00991BBC" w:rsidRPr="001F7505">
        <w:rPr>
          <w:rFonts w:ascii="TimesNewRomanPSMT" w:eastAsiaTheme="minorHAnsi" w:hAnsi="TimesNewRomanPSMT" w:cs="TimesNewRomanPSMT"/>
          <w:b w:val="0"/>
          <w:bCs w:val="0"/>
          <w:lang w:val="en-IN"/>
        </w:rPr>
        <w:t>i</w:t>
      </w:r>
      <w:r w:rsidRPr="001F7505">
        <w:rPr>
          <w:rFonts w:ascii="TimesNewRomanPSMT" w:eastAsiaTheme="minorHAnsi" w:hAnsi="TimesNewRomanPSMT" w:cs="TimesNewRomanPSMT"/>
          <w:b w:val="0"/>
          <w:bCs w:val="0"/>
          <w:lang w:val="en-IN"/>
        </w:rPr>
        <w:t xml:space="preserve">n accordance with OERC (Terms </w:t>
      </w:r>
      <w:r w:rsidR="00DA55E0" w:rsidRPr="001F7505">
        <w:rPr>
          <w:rFonts w:ascii="TimesNewRomanPSMT" w:eastAsiaTheme="minorHAnsi" w:hAnsi="TimesNewRomanPSMT" w:cs="TimesNewRomanPSMT"/>
          <w:b w:val="0"/>
          <w:bCs w:val="0"/>
          <w:lang w:val="en-IN"/>
        </w:rPr>
        <w:t>and</w:t>
      </w:r>
      <w:r w:rsidRPr="001F7505">
        <w:rPr>
          <w:rFonts w:ascii="TimesNewRomanPSMT" w:eastAsiaTheme="minorHAnsi" w:hAnsi="TimesNewRomanPSMT" w:cs="TimesNewRomanPSMT"/>
          <w:b w:val="0"/>
          <w:bCs w:val="0"/>
          <w:lang w:val="en-IN"/>
        </w:rPr>
        <w:t xml:space="preserve"> Conditions of Intra-State Open Access) Regulation 2020</w:t>
      </w:r>
      <w:r w:rsidR="004A03D1" w:rsidRPr="001F7505">
        <w:rPr>
          <w:rFonts w:ascii="TimesNewRomanPSMT" w:eastAsiaTheme="minorHAnsi" w:hAnsi="TimesNewRomanPSMT" w:cs="TimesNewRomanPSMT"/>
          <w:b w:val="0"/>
          <w:bCs w:val="0"/>
          <w:lang w:val="en-IN"/>
        </w:rPr>
        <w:t xml:space="preserve">, SLDC prepared </w:t>
      </w:r>
      <w:r w:rsidR="00991BBC" w:rsidRPr="001F7505">
        <w:rPr>
          <w:rFonts w:ascii="TimesNewRomanPSMT" w:eastAsiaTheme="minorHAnsi" w:hAnsi="TimesNewRomanPSMT" w:cs="TimesNewRomanPSMT"/>
          <w:b w:val="0"/>
          <w:bCs w:val="0"/>
          <w:lang w:val="en-IN"/>
        </w:rPr>
        <w:t xml:space="preserve">draft </w:t>
      </w:r>
      <w:r w:rsidR="004A03D1" w:rsidRPr="001F7505">
        <w:rPr>
          <w:rFonts w:ascii="TimesNewRomanPSMT" w:eastAsiaTheme="minorHAnsi" w:hAnsi="TimesNewRomanPSMT" w:cs="TimesNewRomanPSMT"/>
          <w:b w:val="0"/>
          <w:bCs w:val="0"/>
          <w:lang w:val="en-IN"/>
        </w:rPr>
        <w:t>Guidelines and Procedure for Reservation of Transmission /Distribution Capacity for Short-Term Open Access Customers</w:t>
      </w:r>
      <w:r w:rsidR="00F302BD" w:rsidRPr="001F7505">
        <w:rPr>
          <w:rFonts w:ascii="TimesNewRomanPSMT" w:eastAsiaTheme="minorHAnsi" w:hAnsi="TimesNewRomanPSMT" w:cs="TimesNewRomanPSMT"/>
          <w:b w:val="0"/>
          <w:bCs w:val="0"/>
          <w:lang w:val="en-IN"/>
        </w:rPr>
        <w:t>.</w:t>
      </w:r>
      <w:r w:rsidR="006E1DF4" w:rsidRPr="001F7505">
        <w:rPr>
          <w:rFonts w:ascii="TimesNewRomanPSMT" w:eastAsiaTheme="minorHAnsi" w:hAnsi="TimesNewRomanPSMT" w:cs="TimesNewRomanPSMT"/>
          <w:b w:val="0"/>
          <w:bCs w:val="0"/>
          <w:lang w:val="en-IN"/>
        </w:rPr>
        <w:t xml:space="preserve"> </w:t>
      </w:r>
      <w:r w:rsidR="00F302BD" w:rsidRPr="001F7505">
        <w:rPr>
          <w:rFonts w:ascii="TimesNewRomanPSMT" w:eastAsiaTheme="minorHAnsi" w:hAnsi="TimesNewRomanPSMT" w:cs="TimesNewRomanPSMT"/>
          <w:b w:val="0"/>
          <w:bCs w:val="0"/>
          <w:lang w:val="en-IN"/>
        </w:rPr>
        <w:t>A</w:t>
      </w:r>
      <w:r w:rsidR="004611F0" w:rsidRPr="001F7505">
        <w:rPr>
          <w:rFonts w:ascii="TimesNewRomanPSMT" w:eastAsiaTheme="minorHAnsi" w:hAnsi="TimesNewRomanPSMT" w:cs="TimesNewRomanPSMT"/>
          <w:b w:val="0"/>
          <w:bCs w:val="0"/>
          <w:lang w:val="en-IN"/>
        </w:rPr>
        <w:t xml:space="preserve">pplicability of the same shall </w:t>
      </w:r>
      <w:r w:rsidR="00D429CA" w:rsidRPr="001F7505">
        <w:rPr>
          <w:rFonts w:ascii="TimesNewRomanPSMT" w:eastAsiaTheme="minorHAnsi" w:hAnsi="TimesNewRomanPSMT" w:cs="TimesNewRomanPSMT"/>
          <w:b w:val="0"/>
          <w:bCs w:val="0"/>
          <w:lang w:val="en-IN"/>
        </w:rPr>
        <w:t xml:space="preserve">be </w:t>
      </w:r>
      <w:r w:rsidR="00021EB6" w:rsidRPr="001F7505">
        <w:rPr>
          <w:rFonts w:ascii="TimesNewRomanPSMT" w:eastAsiaTheme="minorHAnsi" w:hAnsi="TimesNewRomanPSMT" w:cs="TimesNewRomanPSMT"/>
          <w:b w:val="0"/>
          <w:bCs w:val="0"/>
          <w:lang w:val="en-IN"/>
        </w:rPr>
        <w:t>subject to</w:t>
      </w:r>
      <w:r w:rsidR="004611F0" w:rsidRPr="001F7505">
        <w:rPr>
          <w:rFonts w:ascii="TimesNewRomanPSMT" w:eastAsiaTheme="minorHAnsi" w:hAnsi="TimesNewRomanPSMT" w:cs="TimesNewRomanPSMT"/>
          <w:b w:val="0"/>
          <w:bCs w:val="0"/>
          <w:lang w:val="en-IN"/>
        </w:rPr>
        <w:t xml:space="preserve"> </w:t>
      </w:r>
      <w:r w:rsidR="00F302BD" w:rsidRPr="001F7505">
        <w:rPr>
          <w:rFonts w:ascii="TimesNewRomanPSMT" w:eastAsiaTheme="minorHAnsi" w:hAnsi="TimesNewRomanPSMT" w:cs="TimesNewRomanPSMT"/>
          <w:b w:val="0"/>
          <w:bCs w:val="0"/>
          <w:lang w:val="en-IN"/>
        </w:rPr>
        <w:t xml:space="preserve">the </w:t>
      </w:r>
      <w:r w:rsidR="004611F0" w:rsidRPr="001F7505">
        <w:rPr>
          <w:rFonts w:ascii="TimesNewRomanPSMT" w:eastAsiaTheme="minorHAnsi" w:hAnsi="TimesNewRomanPSMT" w:cs="TimesNewRomanPSMT"/>
          <w:b w:val="0"/>
          <w:bCs w:val="0"/>
          <w:lang w:val="en-IN"/>
        </w:rPr>
        <w:t xml:space="preserve">approval of the </w:t>
      </w:r>
      <w:r w:rsidR="00021EB6" w:rsidRPr="001F7505">
        <w:rPr>
          <w:rFonts w:ascii="TimesNewRomanPSMT" w:eastAsiaTheme="minorHAnsi" w:hAnsi="TimesNewRomanPSMT" w:cs="TimesNewRomanPSMT"/>
          <w:b w:val="0"/>
          <w:bCs w:val="0"/>
          <w:lang w:val="en-IN"/>
        </w:rPr>
        <w:t>Hon’ble</w:t>
      </w:r>
      <w:r w:rsidR="00F302BD" w:rsidRPr="001F7505">
        <w:rPr>
          <w:rFonts w:ascii="TimesNewRomanPSMT" w:eastAsiaTheme="minorHAnsi" w:hAnsi="TimesNewRomanPSMT" w:cs="TimesNewRomanPSMT"/>
          <w:b w:val="0"/>
          <w:bCs w:val="0"/>
          <w:lang w:val="en-IN"/>
        </w:rPr>
        <w:t xml:space="preserve"> Commission</w:t>
      </w:r>
      <w:r w:rsidR="00021EB6" w:rsidRPr="001F7505">
        <w:rPr>
          <w:rFonts w:ascii="TimesNewRomanPSMT" w:eastAsiaTheme="minorHAnsi" w:hAnsi="TimesNewRomanPSMT" w:cs="TimesNewRomanPSMT"/>
          <w:b w:val="0"/>
          <w:bCs w:val="0"/>
          <w:lang w:val="en-IN"/>
        </w:rPr>
        <w:t xml:space="preserve">. The applicant furnished its comments/views/suggestions on the draft </w:t>
      </w:r>
      <w:r w:rsidR="00991BBC" w:rsidRPr="001F7505">
        <w:rPr>
          <w:rFonts w:ascii="TimesNewRomanPSMT" w:eastAsiaTheme="minorHAnsi" w:hAnsi="TimesNewRomanPSMT" w:cs="TimesNewRomanPSMT"/>
          <w:b w:val="0"/>
          <w:bCs w:val="0"/>
          <w:lang w:val="en-IN"/>
        </w:rPr>
        <w:t>Guidelines and Procedure for STOA</w:t>
      </w:r>
      <w:r w:rsidR="00021EB6" w:rsidRPr="001F7505">
        <w:rPr>
          <w:rFonts w:ascii="TimesNewRomanPSMT" w:eastAsiaTheme="minorHAnsi" w:hAnsi="TimesNewRomanPSMT" w:cs="TimesNewRomanPSMT"/>
          <w:b w:val="0"/>
          <w:bCs w:val="0"/>
          <w:lang w:val="en-IN"/>
        </w:rPr>
        <w:t xml:space="preserve"> vide its letter TPWODL/RA&amp;S/2023/</w:t>
      </w:r>
      <w:r w:rsidR="00EB4715" w:rsidRPr="001F7505">
        <w:rPr>
          <w:rFonts w:ascii="TimesNewRomanPSMT" w:eastAsiaTheme="minorHAnsi" w:hAnsi="TimesNewRomanPSMT" w:cs="TimesNewRomanPSMT"/>
          <w:b w:val="0"/>
          <w:bCs w:val="0"/>
          <w:lang w:val="en-IN"/>
        </w:rPr>
        <w:t>8</w:t>
      </w:r>
      <w:r w:rsidR="00021EB6" w:rsidRPr="001F7505">
        <w:rPr>
          <w:rFonts w:ascii="TimesNewRomanPSMT" w:eastAsiaTheme="minorHAnsi" w:hAnsi="TimesNewRomanPSMT" w:cs="TimesNewRomanPSMT"/>
          <w:b w:val="0"/>
          <w:bCs w:val="0"/>
          <w:lang w:val="en-IN"/>
        </w:rPr>
        <w:t>8 dated 2</w:t>
      </w:r>
      <w:r w:rsidR="00EB4715" w:rsidRPr="001F7505">
        <w:rPr>
          <w:rFonts w:ascii="TimesNewRomanPSMT" w:eastAsiaTheme="minorHAnsi" w:hAnsi="TimesNewRomanPSMT" w:cs="TimesNewRomanPSMT"/>
          <w:b w:val="0"/>
          <w:bCs w:val="0"/>
          <w:lang w:val="en-IN"/>
        </w:rPr>
        <w:t>1</w:t>
      </w:r>
      <w:r w:rsidR="00021EB6" w:rsidRPr="001F7505">
        <w:rPr>
          <w:rFonts w:ascii="TimesNewRomanPSMT" w:eastAsiaTheme="minorHAnsi" w:hAnsi="TimesNewRomanPSMT" w:cs="TimesNewRomanPSMT"/>
          <w:b w:val="0"/>
          <w:bCs w:val="0"/>
          <w:lang w:val="en-IN"/>
        </w:rPr>
        <w:t>.0</w:t>
      </w:r>
      <w:r w:rsidR="00EB4715" w:rsidRPr="001F7505">
        <w:rPr>
          <w:rFonts w:ascii="TimesNewRomanPSMT" w:eastAsiaTheme="minorHAnsi" w:hAnsi="TimesNewRomanPSMT" w:cs="TimesNewRomanPSMT"/>
          <w:b w:val="0"/>
          <w:bCs w:val="0"/>
          <w:lang w:val="en-IN"/>
        </w:rPr>
        <w:t>7</w:t>
      </w:r>
      <w:r w:rsidR="00021EB6" w:rsidRPr="001F7505">
        <w:rPr>
          <w:rFonts w:ascii="TimesNewRomanPSMT" w:eastAsiaTheme="minorHAnsi" w:hAnsi="TimesNewRomanPSMT" w:cs="TimesNewRomanPSMT"/>
          <w:b w:val="0"/>
          <w:bCs w:val="0"/>
          <w:lang w:val="en-IN"/>
        </w:rPr>
        <w:t>.2023 for the kind consideration of the Hon’ble Commission.</w:t>
      </w:r>
    </w:p>
    <w:p w14:paraId="5E84E4BF" w14:textId="63F48C0F" w:rsidR="00D33103" w:rsidRPr="001F7505" w:rsidRDefault="00D33103" w:rsidP="00D33103">
      <w:pPr>
        <w:pStyle w:val="Heading1"/>
        <w:numPr>
          <w:ilvl w:val="0"/>
          <w:numId w:val="12"/>
        </w:numPr>
        <w:tabs>
          <w:tab w:val="left" w:pos="3177"/>
          <w:tab w:val="left" w:pos="4886"/>
          <w:tab w:val="left" w:pos="6652"/>
        </w:tabs>
        <w:spacing w:before="120" w:line="360" w:lineRule="auto"/>
        <w:ind w:left="993" w:right="141" w:hanging="426"/>
        <w:rPr>
          <w:b w:val="0"/>
          <w:bCs w:val="0"/>
        </w:rPr>
      </w:pPr>
      <w:r w:rsidRPr="001F7505">
        <w:rPr>
          <w:b w:val="0"/>
          <w:bCs w:val="0"/>
        </w:rPr>
        <w:t>That, the Hon’ble Commission vide letter dated 06.11.2023 has exempted the Renewable Power under regulation 43 of OERC (Open Access) Regulation 2020 and clarified that the transmission charges for Renewable Energy shall be calculated basis of paisa per unit or Rs/MWh irrespective of LTOA, MTOA &amp; STOA as mentioned in the tariff order of the respective year for the Renewable Energy Open Access transaction from the beginning of the RE Policy 2022.</w:t>
      </w:r>
    </w:p>
    <w:p w14:paraId="6FF1112C" w14:textId="00F28DDA" w:rsidR="00ED143D" w:rsidRPr="001F7505" w:rsidRDefault="00ED143D" w:rsidP="00A2262A">
      <w:pPr>
        <w:pStyle w:val="Heading1"/>
        <w:numPr>
          <w:ilvl w:val="0"/>
          <w:numId w:val="12"/>
        </w:numPr>
        <w:tabs>
          <w:tab w:val="left" w:pos="3177"/>
          <w:tab w:val="left" w:pos="4886"/>
          <w:tab w:val="left" w:pos="6652"/>
        </w:tabs>
        <w:spacing w:before="120" w:line="360" w:lineRule="auto"/>
        <w:ind w:left="993" w:right="141" w:hanging="426"/>
        <w:rPr>
          <w:b w:val="0"/>
          <w:bCs w:val="0"/>
        </w:rPr>
      </w:pPr>
      <w:r w:rsidRPr="001F7505">
        <w:rPr>
          <w:b w:val="0"/>
          <w:bCs w:val="0"/>
        </w:rPr>
        <w:t xml:space="preserve">In view of </w:t>
      </w:r>
      <w:r w:rsidR="00B07EE6" w:rsidRPr="001F7505">
        <w:rPr>
          <w:b w:val="0"/>
          <w:bCs w:val="0"/>
        </w:rPr>
        <w:t xml:space="preserve">the </w:t>
      </w:r>
      <w:r w:rsidRPr="001F7505">
        <w:rPr>
          <w:b w:val="0"/>
          <w:bCs w:val="0"/>
        </w:rPr>
        <w:t>above the Licensee submits as under:</w:t>
      </w:r>
    </w:p>
    <w:p w14:paraId="64484EC5" w14:textId="03999772" w:rsidR="00ED143D" w:rsidRPr="001F7505" w:rsidRDefault="00ED143D" w:rsidP="00E425BF">
      <w:pPr>
        <w:pStyle w:val="ListParagraph"/>
        <w:numPr>
          <w:ilvl w:val="0"/>
          <w:numId w:val="13"/>
        </w:numPr>
        <w:spacing w:line="360" w:lineRule="auto"/>
        <w:ind w:left="1560" w:right="150" w:hanging="426"/>
        <w:jc w:val="both"/>
        <w:rPr>
          <w:sz w:val="24"/>
        </w:rPr>
      </w:pPr>
      <w:r w:rsidRPr="001F7505">
        <w:rPr>
          <w:sz w:val="24"/>
        </w:rPr>
        <w:t>That the licensee</w:t>
      </w:r>
      <w:r w:rsidR="00E425BF" w:rsidRPr="001F7505">
        <w:rPr>
          <w:sz w:val="24"/>
        </w:rPr>
        <w:t>,</w:t>
      </w:r>
      <w:r w:rsidRPr="001F7505">
        <w:rPr>
          <w:sz w:val="24"/>
        </w:rPr>
        <w:t xml:space="preserve"> in accordance with regulations framed by </w:t>
      </w:r>
      <w:r w:rsidR="0042702D" w:rsidRPr="001F7505">
        <w:rPr>
          <w:sz w:val="24"/>
        </w:rPr>
        <w:t xml:space="preserve">the </w:t>
      </w:r>
      <w:r w:rsidRPr="001F7505">
        <w:rPr>
          <w:sz w:val="24"/>
        </w:rPr>
        <w:t xml:space="preserve">Hon’ble </w:t>
      </w:r>
      <w:r w:rsidRPr="001F7505">
        <w:rPr>
          <w:sz w:val="24"/>
        </w:rPr>
        <w:lastRenderedPageBreak/>
        <w:t>Commission under the provision of EA 2003</w:t>
      </w:r>
      <w:r w:rsidR="00E425BF" w:rsidRPr="001F7505">
        <w:rPr>
          <w:sz w:val="24"/>
        </w:rPr>
        <w:t>,</w:t>
      </w:r>
      <w:r w:rsidRPr="001F7505">
        <w:rPr>
          <w:sz w:val="24"/>
        </w:rPr>
        <w:t xml:space="preserve"> is required to file the wheeling charges, cross-subsidy surcharge, additional surcharge</w:t>
      </w:r>
      <w:r w:rsidR="0042702D" w:rsidRPr="001F7505">
        <w:rPr>
          <w:sz w:val="24"/>
        </w:rPr>
        <w:t>,</w:t>
      </w:r>
      <w:r w:rsidRPr="001F7505">
        <w:rPr>
          <w:sz w:val="24"/>
        </w:rPr>
        <w:t xml:space="preserve"> and </w:t>
      </w:r>
      <w:r w:rsidR="0042702D" w:rsidRPr="001F7505">
        <w:rPr>
          <w:sz w:val="24"/>
        </w:rPr>
        <w:t>stand-by</w:t>
      </w:r>
      <w:r w:rsidRPr="001F7505">
        <w:rPr>
          <w:sz w:val="24"/>
        </w:rPr>
        <w:t xml:space="preserve"> charges before the Commission for approval.</w:t>
      </w:r>
    </w:p>
    <w:p w14:paraId="4502C3B7" w14:textId="77777777" w:rsidR="00ED143D" w:rsidRPr="001F7505" w:rsidRDefault="00ED143D" w:rsidP="00ED143D">
      <w:pPr>
        <w:spacing w:line="360" w:lineRule="auto"/>
        <w:ind w:left="993" w:right="150"/>
        <w:jc w:val="both"/>
        <w:rPr>
          <w:sz w:val="24"/>
        </w:rPr>
      </w:pPr>
    </w:p>
    <w:p w14:paraId="161B2FC1" w14:textId="2FB045B6" w:rsidR="00ED143D" w:rsidRPr="001F7505" w:rsidRDefault="00ED143D" w:rsidP="00E425BF">
      <w:pPr>
        <w:pStyle w:val="ListParagraph"/>
        <w:numPr>
          <w:ilvl w:val="0"/>
          <w:numId w:val="13"/>
        </w:numPr>
        <w:spacing w:line="360" w:lineRule="auto"/>
        <w:ind w:left="1560" w:right="150" w:hanging="426"/>
        <w:jc w:val="both"/>
        <w:rPr>
          <w:sz w:val="24"/>
        </w:rPr>
      </w:pPr>
      <w:r w:rsidRPr="001F7505">
        <w:rPr>
          <w:sz w:val="24"/>
        </w:rPr>
        <w:t xml:space="preserve">That the </w:t>
      </w:r>
      <w:proofErr w:type="spellStart"/>
      <w:r w:rsidRPr="001F7505">
        <w:rPr>
          <w:sz w:val="24"/>
        </w:rPr>
        <w:t>licensee</w:t>
      </w:r>
      <w:proofErr w:type="spellEnd"/>
      <w:r w:rsidRPr="001F7505">
        <w:rPr>
          <w:sz w:val="24"/>
        </w:rPr>
        <w:t xml:space="preserve"> is required to provide non-discriminatory open access to the consumers </w:t>
      </w:r>
      <w:r w:rsidR="00A25C73" w:rsidRPr="001F7505">
        <w:rPr>
          <w:sz w:val="24"/>
        </w:rPr>
        <w:t xml:space="preserve">as per section 42(3) of the Act </w:t>
      </w:r>
      <w:r w:rsidRPr="001F7505">
        <w:rPr>
          <w:sz w:val="24"/>
        </w:rPr>
        <w:t xml:space="preserve">within </w:t>
      </w:r>
      <w:proofErr w:type="spellStart"/>
      <w:r w:rsidRPr="001F7505">
        <w:rPr>
          <w:sz w:val="24"/>
        </w:rPr>
        <w:t>the</w:t>
      </w:r>
      <w:r w:rsidR="00B84568" w:rsidRPr="001F7505">
        <w:rPr>
          <w:sz w:val="24"/>
        </w:rPr>
        <w:t>s</w:t>
      </w:r>
      <w:proofErr w:type="spellEnd"/>
      <w:r w:rsidRPr="001F7505">
        <w:rPr>
          <w:sz w:val="24"/>
        </w:rPr>
        <w:t xml:space="preserve"> period as stipulated by the Commission in accordance with the provisions of </w:t>
      </w:r>
      <w:r w:rsidR="00E67B84" w:rsidRPr="001F7505">
        <w:rPr>
          <w:sz w:val="24"/>
        </w:rPr>
        <w:t>para 9</w:t>
      </w:r>
      <w:r w:rsidRPr="001F7505">
        <w:rPr>
          <w:sz w:val="24"/>
        </w:rPr>
        <w:t xml:space="preserve"> (</w:t>
      </w:r>
      <w:r w:rsidR="00E67B84" w:rsidRPr="001F7505">
        <w:rPr>
          <w:sz w:val="24"/>
        </w:rPr>
        <w:t>4</w:t>
      </w:r>
      <w:r w:rsidRPr="001F7505">
        <w:rPr>
          <w:sz w:val="24"/>
        </w:rPr>
        <w:t>) under Chapter-</w:t>
      </w:r>
      <w:r w:rsidR="00E67B84" w:rsidRPr="001F7505">
        <w:rPr>
          <w:sz w:val="24"/>
        </w:rPr>
        <w:t>3</w:t>
      </w:r>
      <w:r w:rsidRPr="001F7505">
        <w:rPr>
          <w:sz w:val="24"/>
        </w:rPr>
        <w:t xml:space="preserve"> of the OERC (Terms and Conditions </w:t>
      </w:r>
      <w:r w:rsidR="00E67B84" w:rsidRPr="001F7505">
        <w:rPr>
          <w:sz w:val="24"/>
        </w:rPr>
        <w:t>of Intra State Open Access</w:t>
      </w:r>
      <w:r w:rsidRPr="001F7505">
        <w:rPr>
          <w:sz w:val="24"/>
        </w:rPr>
        <w:t>) Regulations 20</w:t>
      </w:r>
      <w:r w:rsidR="00E67B84" w:rsidRPr="001F7505">
        <w:rPr>
          <w:sz w:val="24"/>
        </w:rPr>
        <w:t>20</w:t>
      </w:r>
      <w:r w:rsidRPr="001F7505">
        <w:rPr>
          <w:sz w:val="24"/>
        </w:rPr>
        <w:t>.</w:t>
      </w:r>
    </w:p>
    <w:p w14:paraId="2C03C4A6" w14:textId="77777777" w:rsidR="00ED143D" w:rsidRPr="001F7505" w:rsidRDefault="00ED143D" w:rsidP="00ED143D">
      <w:pPr>
        <w:spacing w:line="360" w:lineRule="auto"/>
        <w:ind w:left="993" w:right="150"/>
        <w:jc w:val="both"/>
        <w:rPr>
          <w:sz w:val="24"/>
        </w:rPr>
      </w:pPr>
    </w:p>
    <w:p w14:paraId="279BDD5D" w14:textId="1ADFDF20" w:rsidR="00ED143D" w:rsidRPr="001F7505" w:rsidRDefault="00ED143D" w:rsidP="00E425BF">
      <w:pPr>
        <w:pStyle w:val="ListParagraph"/>
        <w:numPr>
          <w:ilvl w:val="0"/>
          <w:numId w:val="13"/>
        </w:numPr>
        <w:spacing w:line="360" w:lineRule="auto"/>
        <w:ind w:left="1560" w:right="150" w:hanging="426"/>
        <w:jc w:val="both"/>
        <w:rPr>
          <w:sz w:val="24"/>
        </w:rPr>
      </w:pPr>
      <w:r w:rsidRPr="001F7505">
        <w:rPr>
          <w:sz w:val="24"/>
        </w:rPr>
        <w:t xml:space="preserve">That the </w:t>
      </w:r>
      <w:proofErr w:type="spellStart"/>
      <w:r w:rsidRPr="001F7505">
        <w:rPr>
          <w:sz w:val="24"/>
        </w:rPr>
        <w:t>licensee</w:t>
      </w:r>
      <w:proofErr w:type="spellEnd"/>
      <w:r w:rsidRPr="001F7505">
        <w:rPr>
          <w:sz w:val="24"/>
        </w:rPr>
        <w:t xml:space="preserve"> is required to get compensation for the loss of </w:t>
      </w:r>
      <w:r w:rsidR="006259BF" w:rsidRPr="001F7505">
        <w:rPr>
          <w:sz w:val="24"/>
        </w:rPr>
        <w:t>cross-subsidy</w:t>
      </w:r>
      <w:r w:rsidRPr="001F7505">
        <w:rPr>
          <w:sz w:val="24"/>
        </w:rPr>
        <w:t xml:space="preserve"> element from the consumers or category of consumers who have opted for Open Access to take supply from a person other than the licensee in accordance with the provisions of </w:t>
      </w:r>
      <w:r w:rsidR="00E67B84" w:rsidRPr="001F7505">
        <w:rPr>
          <w:sz w:val="24"/>
        </w:rPr>
        <w:t>para 23</w:t>
      </w:r>
      <w:r w:rsidRPr="001F7505">
        <w:rPr>
          <w:sz w:val="24"/>
        </w:rPr>
        <w:t xml:space="preserve"> </w:t>
      </w:r>
      <w:r w:rsidR="00E67B84" w:rsidRPr="001F7505">
        <w:rPr>
          <w:sz w:val="24"/>
        </w:rPr>
        <w:t>under Chapter-5 of the OERC (Terms and Conditions of Intra State Open Access) Regulations 2020</w:t>
      </w:r>
      <w:r w:rsidRPr="001F7505">
        <w:rPr>
          <w:sz w:val="24"/>
        </w:rPr>
        <w:t>.</w:t>
      </w:r>
    </w:p>
    <w:p w14:paraId="2187F016" w14:textId="77777777" w:rsidR="00ED143D" w:rsidRPr="001F7505" w:rsidRDefault="00ED143D" w:rsidP="00ED143D">
      <w:pPr>
        <w:spacing w:line="360" w:lineRule="auto"/>
        <w:ind w:left="993" w:right="150"/>
        <w:jc w:val="both"/>
        <w:rPr>
          <w:sz w:val="24"/>
        </w:rPr>
      </w:pPr>
    </w:p>
    <w:p w14:paraId="5B776FE8" w14:textId="1BD8F7B5" w:rsidR="00ED143D" w:rsidRPr="00ED143D" w:rsidRDefault="00ED143D" w:rsidP="00E425BF">
      <w:pPr>
        <w:pStyle w:val="ListParagraph"/>
        <w:numPr>
          <w:ilvl w:val="0"/>
          <w:numId w:val="13"/>
        </w:numPr>
        <w:spacing w:line="360" w:lineRule="auto"/>
        <w:ind w:left="1560" w:right="150" w:hanging="426"/>
        <w:jc w:val="both"/>
        <w:rPr>
          <w:sz w:val="24"/>
        </w:rPr>
      </w:pPr>
      <w:r w:rsidRPr="001F7505">
        <w:rPr>
          <w:sz w:val="24"/>
        </w:rPr>
        <w:t xml:space="preserve">That the </w:t>
      </w:r>
      <w:proofErr w:type="spellStart"/>
      <w:r w:rsidRPr="001F7505">
        <w:rPr>
          <w:sz w:val="24"/>
        </w:rPr>
        <w:t>licensee</w:t>
      </w:r>
      <w:proofErr w:type="spellEnd"/>
      <w:r w:rsidRPr="001F7505">
        <w:rPr>
          <w:sz w:val="24"/>
        </w:rPr>
        <w:t xml:space="preserve"> is required to get additional surcharge to meet the f</w:t>
      </w:r>
      <w:r w:rsidRPr="00ED143D">
        <w:rPr>
          <w:sz w:val="24"/>
        </w:rPr>
        <w:t xml:space="preserve">ixed cost arising out of his obligation to supply to the consumers or category of consumers who have opted for Open Access in accordance with </w:t>
      </w:r>
      <w:r w:rsidR="004D2F6B" w:rsidRPr="00E67B84">
        <w:rPr>
          <w:sz w:val="24"/>
        </w:rPr>
        <w:t>para 2</w:t>
      </w:r>
      <w:r w:rsidR="004D2F6B">
        <w:rPr>
          <w:sz w:val="24"/>
        </w:rPr>
        <w:t>4</w:t>
      </w:r>
      <w:r w:rsidR="004D2F6B" w:rsidRPr="00E67B84">
        <w:rPr>
          <w:sz w:val="24"/>
        </w:rPr>
        <w:t xml:space="preserve"> under Chapter-5 of the OERC (Terms and Conditions of Intra State Open Access) Regulations 2020</w:t>
      </w:r>
      <w:r w:rsidRPr="00ED143D">
        <w:rPr>
          <w:sz w:val="24"/>
        </w:rPr>
        <w:t>.</w:t>
      </w:r>
    </w:p>
    <w:p w14:paraId="100CFEC3" w14:textId="77777777" w:rsidR="00ED143D" w:rsidRPr="00ED143D" w:rsidRDefault="00ED143D" w:rsidP="00ED143D">
      <w:pPr>
        <w:spacing w:line="360" w:lineRule="auto"/>
        <w:ind w:left="993" w:right="150"/>
        <w:jc w:val="both"/>
        <w:rPr>
          <w:sz w:val="24"/>
        </w:rPr>
      </w:pPr>
    </w:p>
    <w:p w14:paraId="5D962C65" w14:textId="46FE75F9" w:rsidR="00ED143D" w:rsidRPr="00ED143D" w:rsidRDefault="00ED143D" w:rsidP="00E425BF">
      <w:pPr>
        <w:pStyle w:val="ListParagraph"/>
        <w:numPr>
          <w:ilvl w:val="0"/>
          <w:numId w:val="13"/>
        </w:numPr>
        <w:spacing w:line="360" w:lineRule="auto"/>
        <w:ind w:left="1560" w:right="150" w:hanging="426"/>
        <w:jc w:val="both"/>
        <w:rPr>
          <w:sz w:val="24"/>
        </w:rPr>
      </w:pPr>
      <w:r w:rsidRPr="00ED143D">
        <w:rPr>
          <w:sz w:val="24"/>
        </w:rPr>
        <w:t xml:space="preserve">That the licensee submits before the Commission that at present no consumer is permitted by the utility to opt for Open access for getting compensation towards additional surcharge to meet the fixed cost. The utility reserves the right to file before the </w:t>
      </w:r>
      <w:r w:rsidR="00E425BF">
        <w:rPr>
          <w:sz w:val="24"/>
        </w:rPr>
        <w:t>C</w:t>
      </w:r>
      <w:r w:rsidRPr="00ED143D">
        <w:rPr>
          <w:sz w:val="24"/>
        </w:rPr>
        <w:t>ommission with the relevant short fall of fixed cost as and when the issue comes in future.</w:t>
      </w:r>
    </w:p>
    <w:p w14:paraId="65320950" w14:textId="77777777" w:rsidR="00ED143D" w:rsidRPr="00ED143D" w:rsidRDefault="00ED143D" w:rsidP="00ED143D">
      <w:pPr>
        <w:spacing w:line="360" w:lineRule="auto"/>
        <w:ind w:left="993" w:right="150"/>
        <w:jc w:val="both"/>
        <w:rPr>
          <w:sz w:val="24"/>
        </w:rPr>
      </w:pPr>
    </w:p>
    <w:p w14:paraId="752F83AC" w14:textId="5A5D9792" w:rsidR="00ED143D" w:rsidRPr="001F7505" w:rsidRDefault="00ED143D" w:rsidP="000057E3">
      <w:pPr>
        <w:pStyle w:val="ListParagraph"/>
        <w:numPr>
          <w:ilvl w:val="0"/>
          <w:numId w:val="13"/>
        </w:numPr>
        <w:spacing w:line="360" w:lineRule="auto"/>
        <w:ind w:left="1560" w:right="150" w:hanging="426"/>
        <w:jc w:val="both"/>
        <w:rPr>
          <w:sz w:val="24"/>
        </w:rPr>
      </w:pPr>
      <w:r w:rsidRPr="00ED143D">
        <w:rPr>
          <w:sz w:val="24"/>
        </w:rPr>
        <w:t>That, the present application is presented before the Hon’ble Commission for the approval of wheeling charges and</w:t>
      </w:r>
      <w:r w:rsidRPr="00355914">
        <w:rPr>
          <w:sz w:val="24"/>
        </w:rPr>
        <w:t xml:space="preserve"> </w:t>
      </w:r>
      <w:r w:rsidR="00355914" w:rsidRPr="001F7505">
        <w:t xml:space="preserve">Surcharges applicable to the Distribution System User </w:t>
      </w:r>
      <w:r w:rsidR="00186A6B" w:rsidRPr="001F7505">
        <w:t>and Open</w:t>
      </w:r>
      <w:r w:rsidR="00355914" w:rsidRPr="001F7505">
        <w:t xml:space="preserve"> Access Consumers for use of intra-state transmission/ distribution system and associated facilities for </w:t>
      </w:r>
      <w:r w:rsidR="00355914" w:rsidRPr="001F7505">
        <w:lastRenderedPageBreak/>
        <w:t>the financial year 2024-25.</w:t>
      </w:r>
    </w:p>
    <w:p w14:paraId="67509E3F" w14:textId="1AD3B260" w:rsidR="001F5138" w:rsidRDefault="001F5138" w:rsidP="00ED143D">
      <w:pPr>
        <w:spacing w:line="360" w:lineRule="auto"/>
        <w:ind w:left="993" w:right="150"/>
        <w:jc w:val="both"/>
        <w:rPr>
          <w:b/>
          <w:bCs/>
          <w:sz w:val="24"/>
        </w:rPr>
      </w:pPr>
    </w:p>
    <w:p w14:paraId="55BC8C25" w14:textId="77777777" w:rsidR="00ED143D" w:rsidRPr="00ED143D" w:rsidRDefault="00ED143D" w:rsidP="00ED143D">
      <w:pPr>
        <w:spacing w:line="360" w:lineRule="auto"/>
        <w:ind w:left="993" w:right="150"/>
        <w:jc w:val="both"/>
        <w:rPr>
          <w:b/>
          <w:bCs/>
          <w:sz w:val="24"/>
          <w:u w:val="single"/>
        </w:rPr>
      </w:pPr>
      <w:r w:rsidRPr="00ED143D">
        <w:rPr>
          <w:b/>
          <w:bCs/>
          <w:sz w:val="24"/>
          <w:u w:val="single"/>
        </w:rPr>
        <w:t>BACKGROUND</w:t>
      </w:r>
    </w:p>
    <w:p w14:paraId="3D5947BA" w14:textId="11A08350" w:rsidR="00ED143D" w:rsidRPr="000057E3" w:rsidRDefault="00ED143D" w:rsidP="00AB33D1">
      <w:pPr>
        <w:pStyle w:val="Heading1"/>
        <w:numPr>
          <w:ilvl w:val="0"/>
          <w:numId w:val="12"/>
        </w:numPr>
        <w:tabs>
          <w:tab w:val="left" w:pos="3177"/>
          <w:tab w:val="left" w:pos="4886"/>
          <w:tab w:val="left" w:pos="6652"/>
        </w:tabs>
        <w:spacing w:before="120" w:line="360" w:lineRule="auto"/>
        <w:ind w:left="993" w:right="141" w:hanging="426"/>
        <w:rPr>
          <w:b w:val="0"/>
          <w:bCs w:val="0"/>
        </w:rPr>
      </w:pPr>
      <w:r w:rsidRPr="000057E3">
        <w:rPr>
          <w:b w:val="0"/>
          <w:bCs w:val="0"/>
        </w:rPr>
        <w:t>TPWODL is the holder of license No. OERC/</w:t>
      </w:r>
      <w:proofErr w:type="gramStart"/>
      <w:r w:rsidRPr="000057E3">
        <w:rPr>
          <w:b w:val="0"/>
          <w:bCs w:val="0"/>
        </w:rPr>
        <w:t>Engg./</w:t>
      </w:r>
      <w:proofErr w:type="gramEnd"/>
      <w:r w:rsidRPr="000057E3">
        <w:rPr>
          <w:b w:val="0"/>
          <w:bCs w:val="0"/>
        </w:rPr>
        <w:t>2/2021/409 granted by OERC vide their order dated 26</w:t>
      </w:r>
      <w:r w:rsidRPr="000057E3">
        <w:rPr>
          <w:b w:val="0"/>
          <w:bCs w:val="0"/>
          <w:vertAlign w:val="superscript"/>
        </w:rPr>
        <w:t>th</w:t>
      </w:r>
      <w:r w:rsidRPr="000057E3">
        <w:rPr>
          <w:b w:val="0"/>
          <w:bCs w:val="0"/>
        </w:rPr>
        <w:t xml:space="preserve"> March, 2021 </w:t>
      </w:r>
      <w:proofErr w:type="spellStart"/>
      <w:r w:rsidRPr="000057E3">
        <w:rPr>
          <w:b w:val="0"/>
          <w:bCs w:val="0"/>
        </w:rPr>
        <w:t>w.e.f</w:t>
      </w:r>
      <w:proofErr w:type="spellEnd"/>
      <w:r w:rsidRPr="000057E3">
        <w:rPr>
          <w:b w:val="0"/>
          <w:bCs w:val="0"/>
        </w:rPr>
        <w:t xml:space="preserve"> 1</w:t>
      </w:r>
      <w:r w:rsidRPr="000057E3">
        <w:rPr>
          <w:b w:val="0"/>
          <w:bCs w:val="0"/>
          <w:vertAlign w:val="superscript"/>
        </w:rPr>
        <w:t>st</w:t>
      </w:r>
      <w:r w:rsidRPr="000057E3">
        <w:rPr>
          <w:b w:val="0"/>
          <w:bCs w:val="0"/>
        </w:rPr>
        <w:t xml:space="preserve"> January 2021.</w:t>
      </w:r>
    </w:p>
    <w:p w14:paraId="25216DB5" w14:textId="77777777" w:rsidR="00ED143D" w:rsidRPr="00ED143D" w:rsidRDefault="00ED143D" w:rsidP="00ED143D">
      <w:pPr>
        <w:spacing w:line="360" w:lineRule="auto"/>
        <w:ind w:left="993" w:right="150"/>
        <w:jc w:val="both"/>
        <w:rPr>
          <w:sz w:val="24"/>
        </w:rPr>
      </w:pPr>
    </w:p>
    <w:p w14:paraId="0E7A8901" w14:textId="77777777" w:rsidR="00ED143D" w:rsidRPr="000057E3" w:rsidRDefault="00ED143D" w:rsidP="00AB33D1">
      <w:pPr>
        <w:pStyle w:val="Heading1"/>
        <w:numPr>
          <w:ilvl w:val="0"/>
          <w:numId w:val="12"/>
        </w:numPr>
        <w:tabs>
          <w:tab w:val="left" w:pos="3177"/>
          <w:tab w:val="left" w:pos="4886"/>
          <w:tab w:val="left" w:pos="6652"/>
        </w:tabs>
        <w:spacing w:before="120" w:line="360" w:lineRule="auto"/>
        <w:ind w:left="993" w:right="141" w:hanging="426"/>
        <w:rPr>
          <w:b w:val="0"/>
          <w:bCs w:val="0"/>
        </w:rPr>
      </w:pPr>
      <w:r w:rsidRPr="000057E3">
        <w:rPr>
          <w:b w:val="0"/>
          <w:bCs w:val="0"/>
        </w:rPr>
        <w:t>The EA 2003 enables eligible consumers to have non- discriminatory Open Access (OA) to the network of a Licensee on payment of applicable charges. The EA 2003 and National Electricity Policy (NEP) formulated therein mandate the State Electricity Regulatory Commissions to frame the terms and conditions and timeframe for introduction of OA in the State.</w:t>
      </w:r>
    </w:p>
    <w:p w14:paraId="0DE6B373" w14:textId="77777777" w:rsidR="00ED143D" w:rsidRPr="000057E3" w:rsidRDefault="00ED143D" w:rsidP="00ED143D">
      <w:pPr>
        <w:spacing w:line="360" w:lineRule="auto"/>
        <w:ind w:left="993" w:right="150"/>
        <w:jc w:val="both"/>
        <w:rPr>
          <w:sz w:val="24"/>
        </w:rPr>
      </w:pPr>
    </w:p>
    <w:p w14:paraId="667EEC36" w14:textId="014BCE1D" w:rsidR="00ED143D" w:rsidRPr="000057E3" w:rsidRDefault="00ED143D" w:rsidP="00AB33D1">
      <w:pPr>
        <w:pStyle w:val="Heading1"/>
        <w:numPr>
          <w:ilvl w:val="0"/>
          <w:numId w:val="12"/>
        </w:numPr>
        <w:tabs>
          <w:tab w:val="left" w:pos="3177"/>
          <w:tab w:val="left" w:pos="4886"/>
          <w:tab w:val="left" w:pos="6652"/>
        </w:tabs>
        <w:spacing w:before="120" w:line="360" w:lineRule="auto"/>
        <w:ind w:left="993" w:right="141" w:hanging="426"/>
        <w:rPr>
          <w:b w:val="0"/>
          <w:bCs w:val="0"/>
        </w:rPr>
      </w:pPr>
      <w:r w:rsidRPr="000057E3">
        <w:rPr>
          <w:b w:val="0"/>
          <w:bCs w:val="0"/>
        </w:rPr>
        <w:t>The Hon’ble Commission notified the OERC (Terms and Conditions for determination of wheeling and retail supply Tariff) Regulations, 20</w:t>
      </w:r>
      <w:r w:rsidR="004D2F6B">
        <w:rPr>
          <w:b w:val="0"/>
          <w:bCs w:val="0"/>
        </w:rPr>
        <w:t>22</w:t>
      </w:r>
      <w:r w:rsidRPr="000057E3">
        <w:rPr>
          <w:b w:val="0"/>
          <w:bCs w:val="0"/>
        </w:rPr>
        <w:t xml:space="preserve"> for Utilities in the State of Odisha as well as OERC (Terms and Conditions of Intra state Open Access) Regulations, 2020. However, </w:t>
      </w:r>
      <w:proofErr w:type="gramStart"/>
      <w:r w:rsidRPr="000057E3">
        <w:rPr>
          <w:b w:val="0"/>
          <w:bCs w:val="0"/>
        </w:rPr>
        <w:t>in order to</w:t>
      </w:r>
      <w:proofErr w:type="gramEnd"/>
      <w:r w:rsidRPr="000057E3">
        <w:rPr>
          <w:b w:val="0"/>
          <w:bCs w:val="0"/>
        </w:rPr>
        <w:t xml:space="preserve"> implement Open Access in the State, Hon’ble Commission is required to determine the following charges to be paid by the OA consumers:</w:t>
      </w:r>
    </w:p>
    <w:p w14:paraId="2E38BE9E" w14:textId="77777777" w:rsidR="00ED143D" w:rsidRPr="00ED143D" w:rsidRDefault="00ED143D" w:rsidP="00360BC4">
      <w:pPr>
        <w:spacing w:line="360" w:lineRule="auto"/>
        <w:ind w:left="1701" w:right="150"/>
        <w:jc w:val="both"/>
        <w:rPr>
          <w:sz w:val="24"/>
        </w:rPr>
      </w:pPr>
      <w:r w:rsidRPr="00ED143D">
        <w:rPr>
          <w:sz w:val="24"/>
        </w:rPr>
        <w:t>a.</w:t>
      </w:r>
      <w:r w:rsidRPr="00ED143D">
        <w:rPr>
          <w:sz w:val="24"/>
        </w:rPr>
        <w:tab/>
        <w:t xml:space="preserve">Wheeling </w:t>
      </w:r>
      <w:proofErr w:type="gramStart"/>
      <w:r w:rsidRPr="00ED143D">
        <w:rPr>
          <w:sz w:val="24"/>
        </w:rPr>
        <w:t>charges;</w:t>
      </w:r>
      <w:proofErr w:type="gramEnd"/>
    </w:p>
    <w:p w14:paraId="353045B0" w14:textId="77777777" w:rsidR="00ED143D" w:rsidRDefault="00ED143D" w:rsidP="00360BC4">
      <w:pPr>
        <w:spacing w:line="360" w:lineRule="auto"/>
        <w:ind w:left="1701" w:right="150"/>
        <w:jc w:val="both"/>
        <w:rPr>
          <w:sz w:val="24"/>
        </w:rPr>
      </w:pPr>
      <w:r w:rsidRPr="00ED143D">
        <w:rPr>
          <w:sz w:val="24"/>
        </w:rPr>
        <w:t>b.</w:t>
      </w:r>
      <w:r w:rsidRPr="00ED143D">
        <w:rPr>
          <w:sz w:val="24"/>
        </w:rPr>
        <w:tab/>
        <w:t xml:space="preserve">Cross-subsidy </w:t>
      </w:r>
      <w:proofErr w:type="gramStart"/>
      <w:r w:rsidRPr="00ED143D">
        <w:rPr>
          <w:sz w:val="24"/>
        </w:rPr>
        <w:t>surcharge;</w:t>
      </w:r>
      <w:proofErr w:type="gramEnd"/>
    </w:p>
    <w:p w14:paraId="516E7B5E" w14:textId="77777777" w:rsidR="00ED143D" w:rsidRPr="00ED143D" w:rsidRDefault="00ED143D" w:rsidP="00360BC4">
      <w:pPr>
        <w:spacing w:line="360" w:lineRule="auto"/>
        <w:ind w:left="1701" w:right="150"/>
        <w:jc w:val="both"/>
        <w:rPr>
          <w:sz w:val="24"/>
        </w:rPr>
      </w:pPr>
      <w:r w:rsidRPr="00ED143D">
        <w:rPr>
          <w:sz w:val="24"/>
        </w:rPr>
        <w:t>c.</w:t>
      </w:r>
      <w:r w:rsidRPr="00ED143D">
        <w:rPr>
          <w:sz w:val="24"/>
        </w:rPr>
        <w:tab/>
        <w:t>Additional surcharge.</w:t>
      </w:r>
    </w:p>
    <w:p w14:paraId="167F9A45" w14:textId="77777777" w:rsidR="00ED143D" w:rsidRPr="00ED143D" w:rsidRDefault="00ED143D" w:rsidP="00360BC4">
      <w:pPr>
        <w:spacing w:line="360" w:lineRule="auto"/>
        <w:ind w:left="1701" w:right="150"/>
        <w:jc w:val="both"/>
        <w:rPr>
          <w:sz w:val="24"/>
        </w:rPr>
      </w:pPr>
      <w:r w:rsidRPr="00ED143D">
        <w:rPr>
          <w:sz w:val="24"/>
        </w:rPr>
        <w:t>d.</w:t>
      </w:r>
      <w:r w:rsidRPr="00ED143D">
        <w:rPr>
          <w:sz w:val="24"/>
        </w:rPr>
        <w:tab/>
        <w:t>Stand by charges</w:t>
      </w:r>
    </w:p>
    <w:p w14:paraId="384E09BB" w14:textId="782B81E4" w:rsidR="00ED143D" w:rsidRPr="000057E3" w:rsidRDefault="00ED143D" w:rsidP="00AB33D1">
      <w:pPr>
        <w:pStyle w:val="Heading1"/>
        <w:numPr>
          <w:ilvl w:val="0"/>
          <w:numId w:val="12"/>
        </w:numPr>
        <w:tabs>
          <w:tab w:val="left" w:pos="3177"/>
          <w:tab w:val="left" w:pos="4886"/>
          <w:tab w:val="left" w:pos="6652"/>
        </w:tabs>
        <w:spacing w:before="120" w:line="360" w:lineRule="auto"/>
        <w:ind w:left="993" w:right="141" w:hanging="426"/>
        <w:rPr>
          <w:b w:val="0"/>
          <w:bCs w:val="0"/>
        </w:rPr>
      </w:pPr>
      <w:r w:rsidRPr="000057E3">
        <w:rPr>
          <w:b w:val="0"/>
          <w:bCs w:val="0"/>
        </w:rPr>
        <w:t xml:space="preserve">The Commission has in chapter 5 of (Terms and Conditions of Intra state Open Access) Regulation, 2020 </w:t>
      </w:r>
      <w:r w:rsidR="000057E3" w:rsidRPr="000057E3">
        <w:rPr>
          <w:b w:val="0"/>
          <w:bCs w:val="0"/>
        </w:rPr>
        <w:t xml:space="preserve">defined the methodology </w:t>
      </w:r>
      <w:r w:rsidRPr="000057E3">
        <w:rPr>
          <w:b w:val="0"/>
          <w:bCs w:val="0"/>
        </w:rPr>
        <w:t>for determination of transmission charges, wheeling Charges, Cross Subsidy surcharge, Additional Surcharge and stand by charges for use of the intra-State transmission network within the State. Further, the Commission will determine the above open access charges during the tariff determination process.</w:t>
      </w:r>
    </w:p>
    <w:p w14:paraId="660F7A1F" w14:textId="67BE4765" w:rsidR="00ED143D" w:rsidRPr="000057E3" w:rsidRDefault="00ED143D" w:rsidP="00AB33D1">
      <w:pPr>
        <w:pStyle w:val="Heading1"/>
        <w:numPr>
          <w:ilvl w:val="0"/>
          <w:numId w:val="12"/>
        </w:numPr>
        <w:tabs>
          <w:tab w:val="left" w:pos="3177"/>
          <w:tab w:val="left" w:pos="4886"/>
          <w:tab w:val="left" w:pos="6652"/>
        </w:tabs>
        <w:spacing w:before="120" w:line="360" w:lineRule="auto"/>
        <w:ind w:left="993" w:right="141" w:hanging="426"/>
        <w:rPr>
          <w:b w:val="0"/>
          <w:bCs w:val="0"/>
        </w:rPr>
      </w:pPr>
      <w:r w:rsidRPr="000057E3">
        <w:rPr>
          <w:b w:val="0"/>
          <w:bCs w:val="0"/>
        </w:rPr>
        <w:t xml:space="preserve">In the said Regulation 2020, the Hon’ble Commission prescribed the issue of methodology to be followed for determination of transmission charges, wheeling charges, cross-subsidy surcharge, additional surcharge and stand by charges. It is envisaged that based on the prescribed methodology, the </w:t>
      </w:r>
      <w:r w:rsidRPr="000057E3">
        <w:rPr>
          <w:b w:val="0"/>
          <w:bCs w:val="0"/>
        </w:rPr>
        <w:lastRenderedPageBreak/>
        <w:t>transmission charges, wheeling charges, cross-subsidy surcharge would be calculated during the tariff determination exercise.</w:t>
      </w:r>
    </w:p>
    <w:p w14:paraId="055FBC22" w14:textId="77777777" w:rsidR="00ED143D" w:rsidRDefault="00ED143D" w:rsidP="00ED143D">
      <w:pPr>
        <w:spacing w:line="360" w:lineRule="auto"/>
        <w:ind w:left="993" w:right="150"/>
        <w:jc w:val="both"/>
        <w:rPr>
          <w:sz w:val="24"/>
        </w:rPr>
      </w:pPr>
    </w:p>
    <w:p w14:paraId="016A551E" w14:textId="77777777" w:rsidR="00ED143D" w:rsidRPr="00ED143D" w:rsidRDefault="00ED143D" w:rsidP="00ED143D">
      <w:pPr>
        <w:spacing w:line="360" w:lineRule="auto"/>
        <w:ind w:left="993" w:right="150"/>
        <w:jc w:val="both"/>
        <w:rPr>
          <w:b/>
          <w:bCs/>
          <w:sz w:val="24"/>
          <w:u w:val="single"/>
        </w:rPr>
      </w:pPr>
      <w:r w:rsidRPr="00ED143D">
        <w:rPr>
          <w:b/>
          <w:bCs/>
          <w:sz w:val="24"/>
          <w:u w:val="single"/>
        </w:rPr>
        <w:t>OPEN ACCESS CHARGES</w:t>
      </w:r>
    </w:p>
    <w:p w14:paraId="040192B4" w14:textId="2954EEAB" w:rsidR="00ED143D" w:rsidRDefault="00ED143D" w:rsidP="00AB33D1">
      <w:pPr>
        <w:pStyle w:val="Heading1"/>
        <w:numPr>
          <w:ilvl w:val="0"/>
          <w:numId w:val="12"/>
        </w:numPr>
        <w:tabs>
          <w:tab w:val="left" w:pos="3177"/>
          <w:tab w:val="left" w:pos="4886"/>
          <w:tab w:val="left" w:pos="6652"/>
        </w:tabs>
        <w:spacing w:before="120" w:line="360" w:lineRule="auto"/>
        <w:ind w:left="993" w:right="141" w:hanging="426"/>
        <w:rPr>
          <w:b w:val="0"/>
          <w:bCs w:val="0"/>
        </w:rPr>
      </w:pPr>
      <w:r w:rsidRPr="000057E3">
        <w:rPr>
          <w:b w:val="0"/>
          <w:bCs w:val="0"/>
        </w:rPr>
        <w:t>The OERC (Terms and Conditions of Intra State Open Access) Regulation, 2020 provides that the Open Access Customers shall pay the following charges besides the other charges mentioned in the regulation for use of the intra-state distribution system</w:t>
      </w:r>
      <w:r w:rsidR="000057E3">
        <w:rPr>
          <w:b w:val="0"/>
          <w:bCs w:val="0"/>
        </w:rPr>
        <w:t>:</w:t>
      </w:r>
    </w:p>
    <w:p w14:paraId="4B65A449" w14:textId="2201CC5F" w:rsidR="00ED143D" w:rsidRPr="00ED143D" w:rsidRDefault="00ED143D" w:rsidP="00ED143D">
      <w:pPr>
        <w:spacing w:line="360" w:lineRule="auto"/>
        <w:ind w:left="993" w:right="150"/>
        <w:jc w:val="both"/>
        <w:rPr>
          <w:sz w:val="24"/>
        </w:rPr>
      </w:pPr>
      <w:r w:rsidRPr="00ED143D">
        <w:rPr>
          <w:sz w:val="24"/>
        </w:rPr>
        <w:t xml:space="preserve"> </w:t>
      </w:r>
      <w:r w:rsidRPr="00ED143D">
        <w:rPr>
          <w:sz w:val="24"/>
          <w:u w:val="single"/>
        </w:rPr>
        <w:t>Transmission/Wheeling Charges</w:t>
      </w:r>
      <w:r>
        <w:rPr>
          <w:sz w:val="24"/>
        </w:rPr>
        <w:t xml:space="preserve"> - </w:t>
      </w:r>
    </w:p>
    <w:p w14:paraId="35138BA7" w14:textId="484ABA80" w:rsidR="00ED143D" w:rsidRPr="000150AE" w:rsidRDefault="00ED143D" w:rsidP="000150AE">
      <w:pPr>
        <w:pStyle w:val="ListParagraph"/>
        <w:numPr>
          <w:ilvl w:val="0"/>
          <w:numId w:val="4"/>
        </w:numPr>
        <w:spacing w:line="360" w:lineRule="auto"/>
        <w:ind w:left="1560" w:right="150" w:hanging="567"/>
        <w:jc w:val="both"/>
        <w:rPr>
          <w:sz w:val="24"/>
        </w:rPr>
      </w:pPr>
      <w:r w:rsidRPr="000150AE">
        <w:rPr>
          <w:sz w:val="24"/>
        </w:rPr>
        <w:t>Wheeling charges payable to distribution licensee, by long-term or medium- term open access customer for usage of its system shall be as determined as under:</w:t>
      </w:r>
    </w:p>
    <w:p w14:paraId="49E1486E" w14:textId="77777777" w:rsidR="00ED143D" w:rsidRPr="00ED143D" w:rsidRDefault="00ED143D" w:rsidP="000150AE">
      <w:pPr>
        <w:spacing w:line="360" w:lineRule="auto"/>
        <w:ind w:left="1113" w:right="150" w:firstLine="447"/>
        <w:jc w:val="both"/>
        <w:rPr>
          <w:sz w:val="24"/>
        </w:rPr>
      </w:pPr>
      <w:r w:rsidRPr="00ED143D">
        <w:rPr>
          <w:sz w:val="24"/>
        </w:rPr>
        <w:t>Wheeling Charges = (Wheeling Cost) /(ALS</w:t>
      </w:r>
      <w:r w:rsidRPr="000057E3">
        <w:rPr>
          <w:sz w:val="24"/>
          <w:vertAlign w:val="subscript"/>
        </w:rPr>
        <w:t>D</w:t>
      </w:r>
      <w:r w:rsidRPr="00ED143D">
        <w:rPr>
          <w:sz w:val="24"/>
        </w:rPr>
        <w:t>X365) (in INR/MW-day)</w:t>
      </w:r>
    </w:p>
    <w:p w14:paraId="62A477BB" w14:textId="77777777" w:rsidR="00ED143D" w:rsidRPr="00ED143D" w:rsidRDefault="00ED143D" w:rsidP="000150AE">
      <w:pPr>
        <w:spacing w:line="360" w:lineRule="auto"/>
        <w:ind w:left="1113" w:right="150" w:firstLine="447"/>
        <w:jc w:val="both"/>
        <w:rPr>
          <w:sz w:val="24"/>
        </w:rPr>
      </w:pPr>
      <w:proofErr w:type="gramStart"/>
      <w:r w:rsidRPr="00ED143D">
        <w:rPr>
          <w:sz w:val="24"/>
        </w:rPr>
        <w:t>Where</w:t>
      </w:r>
      <w:proofErr w:type="gramEnd"/>
      <w:r w:rsidRPr="00ED143D">
        <w:rPr>
          <w:sz w:val="24"/>
        </w:rPr>
        <w:t>,</w:t>
      </w:r>
    </w:p>
    <w:p w14:paraId="5A921D9E" w14:textId="77777777" w:rsidR="00ED143D" w:rsidRPr="00ED143D" w:rsidRDefault="00ED143D" w:rsidP="000150AE">
      <w:pPr>
        <w:spacing w:line="360" w:lineRule="auto"/>
        <w:ind w:left="1560" w:right="150"/>
        <w:jc w:val="both"/>
        <w:rPr>
          <w:sz w:val="24"/>
        </w:rPr>
      </w:pPr>
      <w:r w:rsidRPr="00ED143D">
        <w:rPr>
          <w:sz w:val="24"/>
        </w:rPr>
        <w:t>Wheeling Cost= Cost towards wheeling business as approved in the Tariff Order of the distribution licensee in the concerned year.</w:t>
      </w:r>
    </w:p>
    <w:p w14:paraId="2FCB0B74" w14:textId="77777777" w:rsidR="00ED143D" w:rsidRDefault="00ED143D" w:rsidP="000150AE">
      <w:pPr>
        <w:spacing w:line="360" w:lineRule="auto"/>
        <w:ind w:left="1560" w:right="150"/>
        <w:jc w:val="both"/>
        <w:rPr>
          <w:sz w:val="24"/>
        </w:rPr>
      </w:pPr>
      <w:r w:rsidRPr="00ED143D">
        <w:rPr>
          <w:sz w:val="24"/>
        </w:rPr>
        <w:t>ALS</w:t>
      </w:r>
      <w:r w:rsidRPr="000057E3">
        <w:rPr>
          <w:sz w:val="24"/>
          <w:vertAlign w:val="subscript"/>
        </w:rPr>
        <w:t>D</w:t>
      </w:r>
      <w:r w:rsidRPr="00ED143D">
        <w:rPr>
          <w:sz w:val="24"/>
        </w:rPr>
        <w:t>= Total Average load projected to be served by the concerned distribution system in the concerned year.</w:t>
      </w:r>
    </w:p>
    <w:p w14:paraId="7B2FEEF8" w14:textId="77777777" w:rsidR="001F5138" w:rsidRDefault="001F5138" w:rsidP="000150AE">
      <w:pPr>
        <w:spacing w:line="360" w:lineRule="auto"/>
        <w:ind w:left="1560" w:right="150"/>
        <w:jc w:val="both"/>
        <w:rPr>
          <w:sz w:val="24"/>
        </w:rPr>
      </w:pPr>
    </w:p>
    <w:p w14:paraId="0F8CAE68" w14:textId="6680EDCE" w:rsidR="00ED143D" w:rsidRPr="00ED143D" w:rsidRDefault="00ED143D" w:rsidP="000150AE">
      <w:pPr>
        <w:spacing w:line="360" w:lineRule="auto"/>
        <w:ind w:left="1560" w:right="150"/>
        <w:jc w:val="both"/>
        <w:rPr>
          <w:sz w:val="24"/>
        </w:rPr>
      </w:pPr>
      <w:r w:rsidRPr="00ED143D">
        <w:rPr>
          <w:sz w:val="24"/>
        </w:rPr>
        <w:t xml:space="preserve">Provided that Wheeling charges for short-term open access consumers shall be payable as determined by the Commission for the relevant financial year </w:t>
      </w:r>
      <w:proofErr w:type="gramStart"/>
      <w:r w:rsidRPr="00ED143D">
        <w:rPr>
          <w:sz w:val="24"/>
        </w:rPr>
        <w:t>on the basis of</w:t>
      </w:r>
      <w:proofErr w:type="gramEnd"/>
      <w:r w:rsidRPr="00ED143D">
        <w:rPr>
          <w:sz w:val="24"/>
        </w:rPr>
        <w:t xml:space="preserve"> scheduled load/ energy in the Tariff Order. For Open Access for a part of a day, the wheeling charges shall be payable on pro-rata </w:t>
      </w:r>
      <w:proofErr w:type="gramStart"/>
      <w:r w:rsidRPr="00ED143D">
        <w:rPr>
          <w:sz w:val="24"/>
        </w:rPr>
        <w:t>basis;</w:t>
      </w:r>
      <w:proofErr w:type="gramEnd"/>
    </w:p>
    <w:p w14:paraId="1ACBA208" w14:textId="77777777" w:rsidR="001F5138" w:rsidRDefault="001F5138" w:rsidP="000150AE">
      <w:pPr>
        <w:spacing w:line="360" w:lineRule="auto"/>
        <w:ind w:left="1560" w:right="150"/>
        <w:jc w:val="both"/>
        <w:rPr>
          <w:sz w:val="24"/>
        </w:rPr>
      </w:pPr>
    </w:p>
    <w:p w14:paraId="230B87BA" w14:textId="78EF98F3" w:rsidR="00ED143D" w:rsidRDefault="00ED143D" w:rsidP="000150AE">
      <w:pPr>
        <w:spacing w:line="360" w:lineRule="auto"/>
        <w:ind w:left="1560" w:right="150"/>
        <w:jc w:val="both"/>
        <w:rPr>
          <w:sz w:val="24"/>
        </w:rPr>
      </w:pPr>
      <w:r w:rsidRPr="00ED143D">
        <w:rPr>
          <w:sz w:val="24"/>
        </w:rPr>
        <w:t>Provided further that where a dedicated distribution system used for open access has been constructed for exclusive use of an open access customer, the wheeling charges for such dedicated system shall be worked out by distribution licensee for their respective systems and got approved by the Commission and shall be borne entirely by such open access customer till such time the surplus capacity is allotted and used for by other persons or purposes;</w:t>
      </w:r>
    </w:p>
    <w:p w14:paraId="3DB33613" w14:textId="77777777" w:rsidR="00485C71" w:rsidRPr="00ED143D" w:rsidRDefault="00485C71" w:rsidP="000150AE">
      <w:pPr>
        <w:spacing w:line="360" w:lineRule="auto"/>
        <w:ind w:left="1560" w:right="150"/>
        <w:jc w:val="both"/>
        <w:rPr>
          <w:sz w:val="24"/>
        </w:rPr>
      </w:pPr>
    </w:p>
    <w:p w14:paraId="41CD52FA" w14:textId="77777777" w:rsidR="001F5138" w:rsidRDefault="001F5138" w:rsidP="001F5138">
      <w:pPr>
        <w:pStyle w:val="ListParagraph"/>
        <w:spacing w:line="360" w:lineRule="auto"/>
        <w:ind w:left="1560" w:right="150"/>
        <w:jc w:val="both"/>
        <w:rPr>
          <w:sz w:val="24"/>
        </w:rPr>
      </w:pPr>
    </w:p>
    <w:p w14:paraId="70E7AECD" w14:textId="1113DB36" w:rsidR="00ED143D" w:rsidRDefault="00ED143D" w:rsidP="000150AE">
      <w:pPr>
        <w:pStyle w:val="ListParagraph"/>
        <w:numPr>
          <w:ilvl w:val="0"/>
          <w:numId w:val="4"/>
        </w:numPr>
        <w:spacing w:line="360" w:lineRule="auto"/>
        <w:ind w:left="1560" w:right="150" w:hanging="567"/>
        <w:jc w:val="both"/>
        <w:rPr>
          <w:sz w:val="24"/>
        </w:rPr>
      </w:pPr>
      <w:r w:rsidRPr="00ED143D">
        <w:rPr>
          <w:sz w:val="24"/>
        </w:rPr>
        <w:t xml:space="preserve">Wheeling charges as calculated by TPWODL </w:t>
      </w:r>
      <w:proofErr w:type="gramStart"/>
      <w:r w:rsidRPr="00ED143D">
        <w:rPr>
          <w:sz w:val="24"/>
        </w:rPr>
        <w:t>is</w:t>
      </w:r>
      <w:proofErr w:type="gramEnd"/>
      <w:r w:rsidRPr="00ED143D">
        <w:rPr>
          <w:sz w:val="24"/>
        </w:rPr>
        <w:t xml:space="preserve"> annexed as </w:t>
      </w:r>
      <w:r w:rsidRPr="00ED143D">
        <w:rPr>
          <w:b/>
          <w:bCs/>
          <w:sz w:val="24"/>
        </w:rPr>
        <w:t>Annexure-A</w:t>
      </w:r>
      <w:r w:rsidRPr="00ED143D">
        <w:rPr>
          <w:sz w:val="24"/>
        </w:rPr>
        <w:t>.</w:t>
      </w:r>
    </w:p>
    <w:p w14:paraId="415B5602" w14:textId="77777777" w:rsidR="00ED143D" w:rsidRPr="00ED143D" w:rsidRDefault="00ED143D" w:rsidP="00ED143D">
      <w:pPr>
        <w:spacing w:before="197"/>
        <w:ind w:left="940"/>
        <w:outlineLvl w:val="0"/>
        <w:rPr>
          <w:b/>
          <w:bCs/>
          <w:sz w:val="24"/>
          <w:szCs w:val="24"/>
        </w:rPr>
      </w:pPr>
      <w:r w:rsidRPr="00ED143D">
        <w:rPr>
          <w:b/>
          <w:bCs/>
          <w:sz w:val="24"/>
          <w:szCs w:val="24"/>
        </w:rPr>
        <w:t>Table</w:t>
      </w:r>
      <w:r w:rsidRPr="00ED143D">
        <w:rPr>
          <w:b/>
          <w:bCs/>
          <w:spacing w:val="-4"/>
          <w:sz w:val="24"/>
          <w:szCs w:val="24"/>
        </w:rPr>
        <w:t xml:space="preserve"> </w:t>
      </w:r>
      <w:r w:rsidRPr="00ED143D">
        <w:rPr>
          <w:b/>
          <w:bCs/>
          <w:sz w:val="24"/>
          <w:szCs w:val="24"/>
        </w:rPr>
        <w:t>showing</w:t>
      </w:r>
      <w:r w:rsidRPr="00ED143D">
        <w:rPr>
          <w:b/>
          <w:bCs/>
          <w:spacing w:val="-3"/>
          <w:sz w:val="24"/>
          <w:szCs w:val="24"/>
        </w:rPr>
        <w:t xml:space="preserve"> </w:t>
      </w:r>
      <w:r w:rsidRPr="00ED143D">
        <w:rPr>
          <w:b/>
          <w:bCs/>
          <w:sz w:val="24"/>
          <w:szCs w:val="24"/>
        </w:rPr>
        <w:t>wheeling</w:t>
      </w:r>
      <w:r w:rsidRPr="00ED143D">
        <w:rPr>
          <w:b/>
          <w:bCs/>
          <w:spacing w:val="-3"/>
          <w:sz w:val="24"/>
          <w:szCs w:val="24"/>
        </w:rPr>
        <w:t xml:space="preserve"> </w:t>
      </w:r>
      <w:proofErr w:type="gramStart"/>
      <w:r w:rsidRPr="00ED143D">
        <w:rPr>
          <w:b/>
          <w:bCs/>
          <w:sz w:val="24"/>
          <w:szCs w:val="24"/>
        </w:rPr>
        <w:t>charge:-</w:t>
      </w:r>
      <w:proofErr w:type="gramEnd"/>
    </w:p>
    <w:p w14:paraId="67FF65B0" w14:textId="77777777" w:rsidR="00ED143D" w:rsidRPr="00ED143D" w:rsidRDefault="00ED143D" w:rsidP="00ED143D">
      <w:pPr>
        <w:spacing w:before="3"/>
        <w:rPr>
          <w:b/>
          <w:szCs w:val="24"/>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12"/>
        <w:gridCol w:w="2201"/>
        <w:gridCol w:w="2249"/>
      </w:tblGrid>
      <w:tr w:rsidR="002715D6" w:rsidRPr="002715D6" w14:paraId="1F585E9D" w14:textId="77777777" w:rsidTr="000057E3">
        <w:trPr>
          <w:trHeight w:val="279"/>
        </w:trPr>
        <w:tc>
          <w:tcPr>
            <w:tcW w:w="4012" w:type="dxa"/>
          </w:tcPr>
          <w:p w14:paraId="4BECFE68" w14:textId="77777777" w:rsidR="00ED143D" w:rsidRPr="002715D6" w:rsidRDefault="00ED143D" w:rsidP="000057E3">
            <w:pPr>
              <w:spacing w:before="119"/>
              <w:ind w:left="43" w:right="1575"/>
              <w:rPr>
                <w:b/>
                <w:sz w:val="24"/>
              </w:rPr>
            </w:pPr>
            <w:r w:rsidRPr="002715D6">
              <w:rPr>
                <w:b/>
                <w:sz w:val="24"/>
              </w:rPr>
              <w:t>Description</w:t>
            </w:r>
          </w:p>
        </w:tc>
        <w:tc>
          <w:tcPr>
            <w:tcW w:w="2201" w:type="dxa"/>
          </w:tcPr>
          <w:p w14:paraId="5DE8C414" w14:textId="77777777" w:rsidR="00ED143D" w:rsidRPr="002715D6" w:rsidRDefault="00ED143D" w:rsidP="000057E3">
            <w:pPr>
              <w:spacing w:before="119"/>
              <w:ind w:left="601" w:right="595"/>
              <w:jc w:val="center"/>
              <w:rPr>
                <w:b/>
                <w:sz w:val="24"/>
              </w:rPr>
            </w:pPr>
            <w:r w:rsidRPr="002715D6">
              <w:rPr>
                <w:b/>
                <w:sz w:val="24"/>
              </w:rPr>
              <w:t>EHT</w:t>
            </w:r>
          </w:p>
        </w:tc>
        <w:tc>
          <w:tcPr>
            <w:tcW w:w="2249" w:type="dxa"/>
          </w:tcPr>
          <w:p w14:paraId="45B72D79" w14:textId="77777777" w:rsidR="00ED143D" w:rsidRPr="002715D6" w:rsidRDefault="00ED143D" w:rsidP="000057E3">
            <w:pPr>
              <w:spacing w:before="119"/>
              <w:ind w:left="900" w:right="899"/>
              <w:jc w:val="center"/>
              <w:rPr>
                <w:b/>
                <w:sz w:val="24"/>
              </w:rPr>
            </w:pPr>
            <w:r w:rsidRPr="002715D6">
              <w:rPr>
                <w:b/>
                <w:sz w:val="24"/>
              </w:rPr>
              <w:t>HT</w:t>
            </w:r>
          </w:p>
        </w:tc>
      </w:tr>
      <w:tr w:rsidR="002715D6" w:rsidRPr="002715D6" w14:paraId="455DD295" w14:textId="77777777" w:rsidTr="000057E3">
        <w:trPr>
          <w:trHeight w:val="441"/>
        </w:trPr>
        <w:tc>
          <w:tcPr>
            <w:tcW w:w="4012" w:type="dxa"/>
          </w:tcPr>
          <w:p w14:paraId="1C3276D8" w14:textId="77777777" w:rsidR="00ED143D" w:rsidRPr="002715D6" w:rsidRDefault="00ED143D" w:rsidP="000057E3">
            <w:pPr>
              <w:tabs>
                <w:tab w:val="left" w:pos="2189"/>
              </w:tabs>
              <w:spacing w:before="120"/>
              <w:ind w:left="107"/>
              <w:rPr>
                <w:sz w:val="24"/>
              </w:rPr>
            </w:pPr>
            <w:r w:rsidRPr="002715D6">
              <w:rPr>
                <w:sz w:val="24"/>
              </w:rPr>
              <w:t>Wheeling</w:t>
            </w:r>
            <w:r w:rsidRPr="002715D6">
              <w:rPr>
                <w:spacing w:val="-4"/>
                <w:sz w:val="24"/>
              </w:rPr>
              <w:t xml:space="preserve"> </w:t>
            </w:r>
            <w:r w:rsidRPr="002715D6">
              <w:rPr>
                <w:sz w:val="24"/>
              </w:rPr>
              <w:t>charges</w:t>
            </w:r>
            <w:r w:rsidRPr="002715D6">
              <w:rPr>
                <w:sz w:val="24"/>
              </w:rPr>
              <w:tab/>
              <w:t>(Paise</w:t>
            </w:r>
            <w:r w:rsidRPr="002715D6">
              <w:rPr>
                <w:spacing w:val="-1"/>
                <w:sz w:val="24"/>
              </w:rPr>
              <w:t xml:space="preserve"> </w:t>
            </w:r>
            <w:r w:rsidRPr="002715D6">
              <w:rPr>
                <w:sz w:val="24"/>
              </w:rPr>
              <w:t>per</w:t>
            </w:r>
            <w:r w:rsidRPr="002715D6">
              <w:rPr>
                <w:spacing w:val="-1"/>
                <w:sz w:val="24"/>
              </w:rPr>
              <w:t xml:space="preserve"> </w:t>
            </w:r>
            <w:r w:rsidRPr="002715D6">
              <w:rPr>
                <w:sz w:val="24"/>
              </w:rPr>
              <w:t>unit)</w:t>
            </w:r>
          </w:p>
        </w:tc>
        <w:tc>
          <w:tcPr>
            <w:tcW w:w="2201" w:type="dxa"/>
          </w:tcPr>
          <w:p w14:paraId="5705ECB9" w14:textId="77777777" w:rsidR="00ED143D" w:rsidRPr="002715D6" w:rsidRDefault="00ED143D" w:rsidP="000057E3">
            <w:pPr>
              <w:spacing w:before="120"/>
              <w:ind w:left="107" w:right="490"/>
              <w:jc w:val="center"/>
              <w:rPr>
                <w:sz w:val="24"/>
              </w:rPr>
            </w:pPr>
            <w:r w:rsidRPr="002715D6">
              <w:rPr>
                <w:sz w:val="24"/>
              </w:rPr>
              <w:t>Not</w:t>
            </w:r>
            <w:r w:rsidRPr="002715D6">
              <w:rPr>
                <w:spacing w:val="1"/>
                <w:sz w:val="24"/>
              </w:rPr>
              <w:t xml:space="preserve"> </w:t>
            </w:r>
            <w:r w:rsidRPr="002715D6">
              <w:rPr>
                <w:sz w:val="24"/>
              </w:rPr>
              <w:t>Applicable</w:t>
            </w:r>
          </w:p>
        </w:tc>
        <w:tc>
          <w:tcPr>
            <w:tcW w:w="2249" w:type="dxa"/>
          </w:tcPr>
          <w:p w14:paraId="19574E26" w14:textId="5DA2D6C4" w:rsidR="00ED143D" w:rsidRPr="002715D6" w:rsidRDefault="002715D6" w:rsidP="000057E3">
            <w:pPr>
              <w:spacing w:before="120"/>
              <w:ind w:left="900" w:right="900"/>
              <w:jc w:val="center"/>
              <w:rPr>
                <w:sz w:val="24"/>
              </w:rPr>
            </w:pPr>
            <w:r w:rsidRPr="002715D6">
              <w:rPr>
                <w:sz w:val="24"/>
              </w:rPr>
              <w:t>152</w:t>
            </w:r>
          </w:p>
        </w:tc>
      </w:tr>
    </w:tbl>
    <w:p w14:paraId="1B7DB7FC" w14:textId="6B9A024B" w:rsidR="00ED143D" w:rsidRDefault="00ED143D" w:rsidP="00ED143D">
      <w:pPr>
        <w:spacing w:line="360" w:lineRule="auto"/>
        <w:ind w:left="993" w:right="150" w:firstLine="720"/>
        <w:jc w:val="both"/>
        <w:rPr>
          <w:sz w:val="24"/>
        </w:rPr>
      </w:pPr>
    </w:p>
    <w:p w14:paraId="0E56EEE9" w14:textId="4374EBCF" w:rsidR="00ED143D" w:rsidRDefault="00ED143D" w:rsidP="00ED143D">
      <w:pPr>
        <w:spacing w:line="360" w:lineRule="auto"/>
        <w:ind w:left="993" w:right="150"/>
        <w:jc w:val="both"/>
        <w:rPr>
          <w:sz w:val="24"/>
        </w:rPr>
      </w:pPr>
      <w:r w:rsidRPr="00ED143D">
        <w:rPr>
          <w:sz w:val="24"/>
          <w:u w:val="single"/>
        </w:rPr>
        <w:t>Cross Subsidy-Surcharge</w:t>
      </w:r>
      <w:r>
        <w:rPr>
          <w:sz w:val="24"/>
        </w:rPr>
        <w:t xml:space="preserve"> – </w:t>
      </w:r>
    </w:p>
    <w:p w14:paraId="2FCE57FE" w14:textId="7F3B95FD" w:rsidR="00ED143D" w:rsidRPr="00ED143D" w:rsidRDefault="00ED143D" w:rsidP="00ED143D">
      <w:pPr>
        <w:pStyle w:val="ListParagraph"/>
        <w:numPr>
          <w:ilvl w:val="0"/>
          <w:numId w:val="1"/>
        </w:numPr>
        <w:spacing w:line="360" w:lineRule="auto"/>
        <w:ind w:left="1418" w:right="150" w:hanging="502"/>
        <w:jc w:val="both"/>
        <w:rPr>
          <w:sz w:val="24"/>
        </w:rPr>
      </w:pPr>
      <w:r w:rsidRPr="00ED143D">
        <w:rPr>
          <w:sz w:val="24"/>
        </w:rPr>
        <w:t xml:space="preserve">If </w:t>
      </w:r>
      <w:proofErr w:type="gramStart"/>
      <w:r w:rsidRPr="00ED143D">
        <w:rPr>
          <w:sz w:val="24"/>
        </w:rPr>
        <w:t>open</w:t>
      </w:r>
      <w:proofErr w:type="gramEnd"/>
      <w:r w:rsidRPr="00ED143D">
        <w:rPr>
          <w:sz w:val="24"/>
        </w:rPr>
        <w:t xml:space="preserve"> access facility is availed of by a subsidizing consumer of a distribution licensee of the State, then such consumer, in addition to transmission and/or wheeling charges, shall pay cross subsidy surcharge determined by the Commission. Cross subsidy surcharge determined on Per Unit basis shall be payable, on monthly basis, by the open access consumers based on the actual energy drawn during the month through open access. The amount of surcharge shall be paid to the distribution licensee of the area of supply from whom the consumer was availing supply before seeking open access.</w:t>
      </w:r>
    </w:p>
    <w:p w14:paraId="1A12862A" w14:textId="754718ED" w:rsidR="00ED143D" w:rsidRPr="00ED143D" w:rsidRDefault="00ED143D" w:rsidP="00ED143D">
      <w:pPr>
        <w:spacing w:line="360" w:lineRule="auto"/>
        <w:ind w:left="1418" w:right="150"/>
        <w:jc w:val="both"/>
        <w:rPr>
          <w:sz w:val="24"/>
        </w:rPr>
      </w:pPr>
      <w:r w:rsidRPr="00ED143D">
        <w:rPr>
          <w:sz w:val="24"/>
        </w:rPr>
        <w:t>Provided also that such cross</w:t>
      </w:r>
      <w:r>
        <w:rPr>
          <w:sz w:val="24"/>
        </w:rPr>
        <w:t>-</w:t>
      </w:r>
      <w:r w:rsidRPr="00ED143D">
        <w:rPr>
          <w:sz w:val="24"/>
        </w:rPr>
        <w:t>subsidy surcharge shall not be levied in case distribution access is provided to a person who has established a captive generation plant for carrying the electricity to the destination of his own use.</w:t>
      </w:r>
    </w:p>
    <w:p w14:paraId="5F5AB61A" w14:textId="77777777" w:rsidR="001F5138" w:rsidRDefault="001F5138" w:rsidP="001F5138">
      <w:pPr>
        <w:pStyle w:val="ListParagraph"/>
        <w:spacing w:line="360" w:lineRule="auto"/>
        <w:ind w:left="1418" w:right="150"/>
        <w:jc w:val="both"/>
        <w:rPr>
          <w:sz w:val="24"/>
        </w:rPr>
      </w:pPr>
    </w:p>
    <w:p w14:paraId="76D03369" w14:textId="7CF508AC" w:rsidR="00ED143D" w:rsidRDefault="00ED143D" w:rsidP="00ED143D">
      <w:pPr>
        <w:pStyle w:val="ListParagraph"/>
        <w:numPr>
          <w:ilvl w:val="0"/>
          <w:numId w:val="1"/>
        </w:numPr>
        <w:spacing w:line="360" w:lineRule="auto"/>
        <w:ind w:left="1418" w:right="150" w:hanging="502"/>
        <w:jc w:val="both"/>
        <w:rPr>
          <w:sz w:val="24"/>
        </w:rPr>
      </w:pPr>
      <w:r w:rsidRPr="00ED143D">
        <w:rPr>
          <w:sz w:val="24"/>
        </w:rPr>
        <w:t xml:space="preserve">Further submitted that the methodology prescribed by Hon’ble Commission in line with </w:t>
      </w:r>
      <w:r>
        <w:rPr>
          <w:sz w:val="24"/>
        </w:rPr>
        <w:t>NTP</w:t>
      </w:r>
      <w:r w:rsidRPr="00ED143D">
        <w:rPr>
          <w:sz w:val="24"/>
        </w:rPr>
        <w:t xml:space="preserve"> is as under</w:t>
      </w:r>
      <w:r>
        <w:rPr>
          <w:sz w:val="24"/>
        </w:rPr>
        <w:t>:</w:t>
      </w:r>
    </w:p>
    <w:p w14:paraId="164AA40C" w14:textId="77777777" w:rsidR="00ED143D" w:rsidRDefault="00ED143D" w:rsidP="00ED143D">
      <w:pPr>
        <w:pStyle w:val="ListParagraph"/>
        <w:spacing w:line="360" w:lineRule="auto"/>
        <w:ind w:left="1418" w:right="150"/>
        <w:jc w:val="both"/>
        <w:rPr>
          <w:sz w:val="24"/>
        </w:rPr>
      </w:pPr>
      <w:r w:rsidRPr="00ED143D">
        <w:rPr>
          <w:sz w:val="24"/>
        </w:rPr>
        <w:t xml:space="preserve">Surcharge formula: S= T – [C/ (1-L/100) + D+ R] </w:t>
      </w:r>
    </w:p>
    <w:p w14:paraId="11AB7FDE" w14:textId="7B5533EC" w:rsidR="00ED143D" w:rsidRDefault="00ED143D" w:rsidP="00ED143D">
      <w:pPr>
        <w:pStyle w:val="ListParagraph"/>
        <w:spacing w:line="360" w:lineRule="auto"/>
        <w:ind w:left="1418" w:right="150"/>
        <w:jc w:val="both"/>
        <w:rPr>
          <w:sz w:val="24"/>
        </w:rPr>
      </w:pPr>
      <w:proofErr w:type="gramStart"/>
      <w:r w:rsidRPr="00ED143D">
        <w:rPr>
          <w:sz w:val="24"/>
        </w:rPr>
        <w:t>Where</w:t>
      </w:r>
      <w:proofErr w:type="gramEnd"/>
      <w:r>
        <w:rPr>
          <w:sz w:val="24"/>
        </w:rPr>
        <w:t>,</w:t>
      </w:r>
      <w:r w:rsidRPr="00ED143D">
        <w:rPr>
          <w:sz w:val="24"/>
        </w:rPr>
        <w:t xml:space="preserve"> </w:t>
      </w:r>
    </w:p>
    <w:p w14:paraId="7407E292" w14:textId="48842C7C" w:rsidR="00ED143D" w:rsidRPr="00ED143D" w:rsidRDefault="00ED143D" w:rsidP="00ED143D">
      <w:pPr>
        <w:pStyle w:val="ListParagraph"/>
        <w:spacing w:line="360" w:lineRule="auto"/>
        <w:ind w:left="1418" w:right="150"/>
        <w:jc w:val="both"/>
        <w:rPr>
          <w:sz w:val="24"/>
        </w:rPr>
      </w:pPr>
      <w:r w:rsidRPr="00ED143D">
        <w:rPr>
          <w:sz w:val="24"/>
        </w:rPr>
        <w:t>S is the surcharge</w:t>
      </w:r>
    </w:p>
    <w:p w14:paraId="6D8BDE77" w14:textId="77777777" w:rsidR="00ED143D" w:rsidRPr="00ED143D" w:rsidRDefault="00ED143D" w:rsidP="00ED143D">
      <w:pPr>
        <w:pStyle w:val="ListParagraph"/>
        <w:spacing w:line="360" w:lineRule="auto"/>
        <w:ind w:left="1418" w:right="150"/>
        <w:jc w:val="both"/>
        <w:rPr>
          <w:sz w:val="24"/>
        </w:rPr>
      </w:pPr>
      <w:r w:rsidRPr="00ED143D">
        <w:rPr>
          <w:sz w:val="24"/>
        </w:rPr>
        <w:t>T is the tariff payable by the relevant category of consumers, including reflecting the Renewable Purchase Obligation</w:t>
      </w:r>
    </w:p>
    <w:p w14:paraId="29E27CEF" w14:textId="77777777" w:rsidR="00ED143D" w:rsidRPr="00ED143D" w:rsidRDefault="00ED143D" w:rsidP="00ED143D">
      <w:pPr>
        <w:pStyle w:val="ListParagraph"/>
        <w:spacing w:line="360" w:lineRule="auto"/>
        <w:ind w:left="1418" w:right="150"/>
        <w:jc w:val="both"/>
        <w:rPr>
          <w:sz w:val="24"/>
        </w:rPr>
      </w:pPr>
      <w:r w:rsidRPr="00ED143D">
        <w:rPr>
          <w:sz w:val="24"/>
        </w:rPr>
        <w:t>C is the per unit bulk supply tariff as determined by OERC for sale of power from GRIDCO to distribution licensees.</w:t>
      </w:r>
    </w:p>
    <w:p w14:paraId="70DFA07B" w14:textId="77777777" w:rsidR="00ED143D" w:rsidRPr="00ED143D" w:rsidRDefault="00ED143D" w:rsidP="00ED143D">
      <w:pPr>
        <w:pStyle w:val="ListParagraph"/>
        <w:spacing w:line="360" w:lineRule="auto"/>
        <w:ind w:left="1418" w:right="150"/>
        <w:jc w:val="both"/>
        <w:rPr>
          <w:sz w:val="24"/>
        </w:rPr>
      </w:pPr>
      <w:r w:rsidRPr="00ED143D">
        <w:rPr>
          <w:sz w:val="24"/>
        </w:rPr>
        <w:t>D is the aggregate of transmission, SLDC and wheeling charge applicable to the relevant voltage level.</w:t>
      </w:r>
    </w:p>
    <w:p w14:paraId="4E1C8FB6" w14:textId="77777777" w:rsidR="00ED143D" w:rsidRPr="00ED143D" w:rsidRDefault="00ED143D" w:rsidP="00ED143D">
      <w:pPr>
        <w:pStyle w:val="ListParagraph"/>
        <w:spacing w:line="360" w:lineRule="auto"/>
        <w:ind w:left="1418" w:right="150"/>
        <w:jc w:val="both"/>
        <w:rPr>
          <w:sz w:val="24"/>
        </w:rPr>
      </w:pPr>
      <w:r w:rsidRPr="00ED143D">
        <w:rPr>
          <w:sz w:val="24"/>
        </w:rPr>
        <w:lastRenderedPageBreak/>
        <w:t xml:space="preserve">L is the aggregate of transmission, </w:t>
      </w:r>
      <w:proofErr w:type="gramStart"/>
      <w:r w:rsidRPr="00ED143D">
        <w:rPr>
          <w:sz w:val="24"/>
        </w:rPr>
        <w:t>distribution</w:t>
      </w:r>
      <w:proofErr w:type="gramEnd"/>
      <w:r w:rsidRPr="00ED143D">
        <w:rPr>
          <w:sz w:val="24"/>
        </w:rPr>
        <w:t xml:space="preserve"> and commercial losses, expressed as a percentage applicable to the relevant voltage level.</w:t>
      </w:r>
    </w:p>
    <w:p w14:paraId="5A5932CD" w14:textId="77777777" w:rsidR="00ED143D" w:rsidRDefault="00ED143D" w:rsidP="00ED143D">
      <w:pPr>
        <w:pStyle w:val="ListParagraph"/>
        <w:spacing w:line="360" w:lineRule="auto"/>
        <w:ind w:left="1418" w:right="150"/>
        <w:jc w:val="both"/>
        <w:rPr>
          <w:sz w:val="24"/>
        </w:rPr>
      </w:pPr>
      <w:r w:rsidRPr="00ED143D">
        <w:rPr>
          <w:sz w:val="24"/>
        </w:rPr>
        <w:t>R is the per unit cost of carrying regulatory assets. Provided that cross-subsidy surcharge shall be progressively reduced to reflect 20% of the tariff applicable to the category of the consumers seeking open access.</w:t>
      </w:r>
      <w:r>
        <w:rPr>
          <w:sz w:val="24"/>
        </w:rPr>
        <w:t xml:space="preserve"> </w:t>
      </w:r>
    </w:p>
    <w:p w14:paraId="0D28B891" w14:textId="0EF3FF15" w:rsidR="00ED143D" w:rsidRDefault="00ED143D" w:rsidP="00ED143D">
      <w:pPr>
        <w:pStyle w:val="ListParagraph"/>
        <w:spacing w:line="360" w:lineRule="auto"/>
        <w:ind w:left="1418" w:right="150"/>
        <w:jc w:val="both"/>
        <w:rPr>
          <w:sz w:val="24"/>
        </w:rPr>
      </w:pPr>
      <w:r w:rsidRPr="00ED143D">
        <w:rPr>
          <w:sz w:val="24"/>
        </w:rPr>
        <w:t>Accordingly</w:t>
      </w:r>
      <w:r>
        <w:rPr>
          <w:sz w:val="24"/>
        </w:rPr>
        <w:t>,</w:t>
      </w:r>
      <w:r w:rsidRPr="00ED143D">
        <w:rPr>
          <w:sz w:val="24"/>
        </w:rPr>
        <w:t xml:space="preserve"> the Licensee computed the cross</w:t>
      </w:r>
      <w:r>
        <w:rPr>
          <w:sz w:val="24"/>
        </w:rPr>
        <w:t>-</w:t>
      </w:r>
      <w:r w:rsidRPr="00ED143D">
        <w:rPr>
          <w:sz w:val="24"/>
        </w:rPr>
        <w:t xml:space="preserve">subsidy surcharge which is mentioned in the following table. The statement of detail computation is annexed as </w:t>
      </w:r>
      <w:r w:rsidRPr="00ED143D">
        <w:rPr>
          <w:b/>
          <w:bCs/>
          <w:sz w:val="24"/>
        </w:rPr>
        <w:t>Annexure- B</w:t>
      </w:r>
      <w:r w:rsidRPr="00ED143D">
        <w:rPr>
          <w:sz w:val="24"/>
        </w:rPr>
        <w:t>.</w:t>
      </w:r>
    </w:p>
    <w:p w14:paraId="1883BB5B" w14:textId="77777777" w:rsidR="00ED143D" w:rsidRPr="00ED143D" w:rsidRDefault="00ED143D" w:rsidP="00F30F77">
      <w:pPr>
        <w:spacing w:before="241"/>
        <w:ind w:left="1418"/>
        <w:outlineLvl w:val="0"/>
        <w:rPr>
          <w:b/>
          <w:bCs/>
          <w:sz w:val="24"/>
          <w:szCs w:val="24"/>
        </w:rPr>
      </w:pPr>
      <w:r w:rsidRPr="00ED143D">
        <w:rPr>
          <w:b/>
          <w:bCs/>
          <w:sz w:val="24"/>
          <w:szCs w:val="24"/>
        </w:rPr>
        <w:t>Table</w:t>
      </w:r>
      <w:r w:rsidRPr="00ED143D">
        <w:rPr>
          <w:b/>
          <w:bCs/>
          <w:spacing w:val="-5"/>
          <w:sz w:val="24"/>
          <w:szCs w:val="24"/>
        </w:rPr>
        <w:t xml:space="preserve"> </w:t>
      </w:r>
      <w:r w:rsidRPr="00ED143D">
        <w:rPr>
          <w:b/>
          <w:bCs/>
          <w:sz w:val="24"/>
          <w:szCs w:val="24"/>
        </w:rPr>
        <w:t>showing</w:t>
      </w:r>
      <w:r w:rsidRPr="00ED143D">
        <w:rPr>
          <w:b/>
          <w:bCs/>
          <w:spacing w:val="-4"/>
          <w:sz w:val="24"/>
          <w:szCs w:val="24"/>
        </w:rPr>
        <w:t xml:space="preserve"> </w:t>
      </w:r>
      <w:r w:rsidRPr="00ED143D">
        <w:rPr>
          <w:b/>
          <w:bCs/>
          <w:sz w:val="24"/>
          <w:szCs w:val="24"/>
        </w:rPr>
        <w:t>Cross</w:t>
      </w:r>
      <w:r w:rsidRPr="00ED143D">
        <w:rPr>
          <w:b/>
          <w:bCs/>
          <w:spacing w:val="-4"/>
          <w:sz w:val="24"/>
          <w:szCs w:val="24"/>
        </w:rPr>
        <w:t xml:space="preserve"> </w:t>
      </w:r>
      <w:r w:rsidRPr="00ED143D">
        <w:rPr>
          <w:b/>
          <w:bCs/>
          <w:sz w:val="24"/>
          <w:szCs w:val="24"/>
        </w:rPr>
        <w:t>Subsidy</w:t>
      </w:r>
      <w:r w:rsidRPr="00ED143D">
        <w:rPr>
          <w:b/>
          <w:bCs/>
          <w:spacing w:val="-4"/>
          <w:sz w:val="24"/>
          <w:szCs w:val="24"/>
        </w:rPr>
        <w:t xml:space="preserve"> </w:t>
      </w:r>
      <w:r w:rsidRPr="00ED143D">
        <w:rPr>
          <w:b/>
          <w:bCs/>
          <w:sz w:val="24"/>
          <w:szCs w:val="24"/>
        </w:rPr>
        <w:t>Surcharge</w:t>
      </w:r>
    </w:p>
    <w:p w14:paraId="10B75546" w14:textId="77777777" w:rsidR="00ED143D" w:rsidRPr="00ED143D" w:rsidRDefault="00ED143D" w:rsidP="00ED143D">
      <w:pPr>
        <w:spacing w:before="1"/>
        <w:rPr>
          <w:b/>
          <w:szCs w:val="24"/>
        </w:rPr>
      </w:pPr>
    </w:p>
    <w:tbl>
      <w:tblPr>
        <w:tblW w:w="0" w:type="auto"/>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3"/>
        <w:gridCol w:w="3735"/>
      </w:tblGrid>
      <w:tr w:rsidR="002715D6" w:rsidRPr="002715D6" w14:paraId="489969DB" w14:textId="77777777" w:rsidTr="00F30F77">
        <w:trPr>
          <w:trHeight w:val="368"/>
        </w:trPr>
        <w:tc>
          <w:tcPr>
            <w:tcW w:w="3543" w:type="dxa"/>
          </w:tcPr>
          <w:p w14:paraId="644F0F48" w14:textId="77777777" w:rsidR="00ED143D" w:rsidRPr="002715D6" w:rsidRDefault="00ED143D" w:rsidP="00ED143D">
            <w:pPr>
              <w:spacing w:before="2"/>
              <w:ind w:left="1228" w:right="330" w:hanging="872"/>
              <w:rPr>
                <w:b/>
                <w:sz w:val="24"/>
              </w:rPr>
            </w:pPr>
            <w:r w:rsidRPr="002715D6">
              <w:rPr>
                <w:b/>
                <w:sz w:val="24"/>
              </w:rPr>
              <w:t>Surcharge (P/KWH)</w:t>
            </w:r>
            <w:r w:rsidRPr="002715D6">
              <w:rPr>
                <w:b/>
                <w:spacing w:val="-50"/>
                <w:sz w:val="24"/>
              </w:rPr>
              <w:t xml:space="preserve"> </w:t>
            </w:r>
            <w:r w:rsidRPr="002715D6">
              <w:rPr>
                <w:b/>
                <w:sz w:val="24"/>
              </w:rPr>
              <w:t>EHT</w:t>
            </w:r>
          </w:p>
        </w:tc>
        <w:tc>
          <w:tcPr>
            <w:tcW w:w="3735" w:type="dxa"/>
          </w:tcPr>
          <w:p w14:paraId="480A277B" w14:textId="77777777" w:rsidR="00ED143D" w:rsidRPr="002715D6" w:rsidRDefault="00ED143D" w:rsidP="00ED143D">
            <w:pPr>
              <w:spacing w:before="2"/>
              <w:ind w:left="554" w:right="547"/>
              <w:jc w:val="center"/>
              <w:rPr>
                <w:b/>
                <w:sz w:val="24"/>
              </w:rPr>
            </w:pPr>
            <w:r w:rsidRPr="002715D6">
              <w:rPr>
                <w:b/>
                <w:sz w:val="24"/>
              </w:rPr>
              <w:t>Surcharge</w:t>
            </w:r>
            <w:r w:rsidRPr="002715D6">
              <w:rPr>
                <w:b/>
                <w:spacing w:val="-3"/>
                <w:sz w:val="24"/>
              </w:rPr>
              <w:t xml:space="preserve"> </w:t>
            </w:r>
            <w:r w:rsidRPr="002715D6">
              <w:rPr>
                <w:b/>
                <w:sz w:val="24"/>
              </w:rPr>
              <w:t>(P/KWH)</w:t>
            </w:r>
            <w:r w:rsidRPr="002715D6">
              <w:rPr>
                <w:b/>
                <w:spacing w:val="-2"/>
                <w:sz w:val="24"/>
              </w:rPr>
              <w:t xml:space="preserve"> </w:t>
            </w:r>
            <w:r w:rsidRPr="002715D6">
              <w:rPr>
                <w:b/>
                <w:sz w:val="24"/>
              </w:rPr>
              <w:t>HT</w:t>
            </w:r>
          </w:p>
        </w:tc>
      </w:tr>
      <w:tr w:rsidR="002715D6" w:rsidRPr="002715D6" w14:paraId="796AC30F" w14:textId="77777777" w:rsidTr="00F30F77">
        <w:trPr>
          <w:trHeight w:val="330"/>
        </w:trPr>
        <w:tc>
          <w:tcPr>
            <w:tcW w:w="3543" w:type="dxa"/>
          </w:tcPr>
          <w:p w14:paraId="407EDE09" w14:textId="754DDB09" w:rsidR="00ED143D" w:rsidRPr="002715D6" w:rsidRDefault="00ED143D" w:rsidP="00ED143D">
            <w:pPr>
              <w:spacing w:before="50" w:line="261" w:lineRule="exact"/>
              <w:ind w:left="1226" w:right="1222"/>
              <w:jc w:val="center"/>
              <w:rPr>
                <w:bCs/>
                <w:sz w:val="24"/>
              </w:rPr>
            </w:pPr>
            <w:r w:rsidRPr="002715D6">
              <w:rPr>
                <w:bCs/>
                <w:sz w:val="24"/>
              </w:rPr>
              <w:t>2</w:t>
            </w:r>
            <w:r w:rsidR="002715D6">
              <w:rPr>
                <w:bCs/>
                <w:sz w:val="24"/>
              </w:rPr>
              <w:t>38</w:t>
            </w:r>
          </w:p>
        </w:tc>
        <w:tc>
          <w:tcPr>
            <w:tcW w:w="3735" w:type="dxa"/>
          </w:tcPr>
          <w:p w14:paraId="5E18D330" w14:textId="4F5BCB10" w:rsidR="00ED143D" w:rsidRPr="002715D6" w:rsidRDefault="002715D6" w:rsidP="00ED143D">
            <w:pPr>
              <w:spacing w:before="50" w:line="261" w:lineRule="exact"/>
              <w:ind w:left="554" w:right="544"/>
              <w:jc w:val="center"/>
              <w:rPr>
                <w:bCs/>
                <w:sz w:val="24"/>
              </w:rPr>
            </w:pPr>
            <w:r>
              <w:rPr>
                <w:bCs/>
                <w:sz w:val="24"/>
              </w:rPr>
              <w:t>25</w:t>
            </w:r>
          </w:p>
        </w:tc>
      </w:tr>
    </w:tbl>
    <w:p w14:paraId="418D8E03" w14:textId="77777777" w:rsidR="00ED143D" w:rsidRDefault="00ED143D" w:rsidP="00ED143D">
      <w:pPr>
        <w:pStyle w:val="ListParagraph"/>
        <w:spacing w:line="360" w:lineRule="auto"/>
        <w:ind w:left="1418" w:right="150"/>
        <w:jc w:val="both"/>
        <w:rPr>
          <w:sz w:val="24"/>
        </w:rPr>
      </w:pPr>
    </w:p>
    <w:p w14:paraId="4FBE9902" w14:textId="79C6C371" w:rsidR="00F30F77" w:rsidRPr="00F30F77" w:rsidRDefault="00ED143D" w:rsidP="00F30F77">
      <w:pPr>
        <w:pStyle w:val="ListParagraph"/>
        <w:spacing w:line="360" w:lineRule="auto"/>
        <w:ind w:left="1418" w:right="150"/>
        <w:jc w:val="both"/>
        <w:rPr>
          <w:sz w:val="24"/>
        </w:rPr>
      </w:pPr>
      <w:r>
        <w:rPr>
          <w:sz w:val="24"/>
        </w:rPr>
        <w:tab/>
      </w:r>
      <w:r w:rsidR="00F30F77" w:rsidRPr="00F30F77">
        <w:rPr>
          <w:sz w:val="24"/>
        </w:rPr>
        <w:t>The above cross subsidy surcharge has been calculated considering the average EHT Tariff derived from proposed EHT sale in MU and value for FY 202</w:t>
      </w:r>
      <w:r w:rsidR="004D2F6B">
        <w:rPr>
          <w:sz w:val="24"/>
        </w:rPr>
        <w:t>4</w:t>
      </w:r>
      <w:r w:rsidR="00F30F77" w:rsidRPr="00F30F77">
        <w:rPr>
          <w:sz w:val="24"/>
        </w:rPr>
        <w:t>-2</w:t>
      </w:r>
      <w:r w:rsidR="004D2F6B">
        <w:rPr>
          <w:sz w:val="24"/>
        </w:rPr>
        <w:t>5</w:t>
      </w:r>
      <w:r w:rsidR="00F30F77">
        <w:rPr>
          <w:sz w:val="24"/>
        </w:rPr>
        <w:t>.</w:t>
      </w:r>
    </w:p>
    <w:p w14:paraId="65649792" w14:textId="77777777" w:rsidR="00F30F77" w:rsidRDefault="00F30F77" w:rsidP="00F30F77">
      <w:pPr>
        <w:pStyle w:val="ListParagraph"/>
        <w:spacing w:line="360" w:lineRule="auto"/>
        <w:ind w:left="1418" w:right="150"/>
        <w:jc w:val="both"/>
        <w:rPr>
          <w:sz w:val="24"/>
        </w:rPr>
      </w:pPr>
    </w:p>
    <w:p w14:paraId="5E00CA67" w14:textId="35887787" w:rsidR="00F30F77" w:rsidRPr="002715D6" w:rsidRDefault="00F30F77" w:rsidP="00F30F77">
      <w:pPr>
        <w:pStyle w:val="ListParagraph"/>
        <w:spacing w:line="360" w:lineRule="auto"/>
        <w:ind w:left="1418" w:right="150"/>
        <w:jc w:val="both"/>
        <w:rPr>
          <w:sz w:val="24"/>
        </w:rPr>
      </w:pPr>
      <w:r w:rsidRPr="002715D6">
        <w:rPr>
          <w:sz w:val="24"/>
        </w:rPr>
        <w:t>For HT category of consumers Wheeling charge @ 1</w:t>
      </w:r>
      <w:r w:rsidR="002715D6" w:rsidRPr="002715D6">
        <w:rPr>
          <w:sz w:val="24"/>
        </w:rPr>
        <w:t>52</w:t>
      </w:r>
      <w:r w:rsidRPr="002715D6">
        <w:rPr>
          <w:sz w:val="24"/>
        </w:rPr>
        <w:t xml:space="preserve"> paise per unit and System loss at HT supply has been considered at 8%. The Cross-subsidy surcharge has been calculated considering the average HT tariff derived from proposed HT sales in MU and value for FY 202</w:t>
      </w:r>
      <w:r w:rsidR="004D2F6B" w:rsidRPr="002715D6">
        <w:rPr>
          <w:sz w:val="24"/>
        </w:rPr>
        <w:t>4</w:t>
      </w:r>
      <w:r w:rsidRPr="002715D6">
        <w:rPr>
          <w:sz w:val="24"/>
        </w:rPr>
        <w:t>-2</w:t>
      </w:r>
      <w:r w:rsidR="004D2F6B" w:rsidRPr="002715D6">
        <w:rPr>
          <w:sz w:val="24"/>
        </w:rPr>
        <w:t>5</w:t>
      </w:r>
      <w:r w:rsidRPr="002715D6">
        <w:rPr>
          <w:sz w:val="24"/>
        </w:rPr>
        <w:t>.</w:t>
      </w:r>
    </w:p>
    <w:p w14:paraId="14C765A2" w14:textId="77777777" w:rsidR="00F30F77" w:rsidRDefault="00F30F77" w:rsidP="00F30F77">
      <w:pPr>
        <w:pStyle w:val="ListParagraph"/>
        <w:spacing w:line="360" w:lineRule="auto"/>
        <w:ind w:left="1418" w:right="150"/>
        <w:jc w:val="both"/>
        <w:rPr>
          <w:sz w:val="24"/>
        </w:rPr>
      </w:pPr>
    </w:p>
    <w:p w14:paraId="1BCCA188" w14:textId="2F418932" w:rsidR="00ED143D" w:rsidRPr="002715D6" w:rsidRDefault="00F30F77" w:rsidP="00F30F77">
      <w:pPr>
        <w:pStyle w:val="ListParagraph"/>
        <w:spacing w:line="360" w:lineRule="auto"/>
        <w:ind w:left="1418" w:right="150"/>
        <w:jc w:val="both"/>
        <w:rPr>
          <w:sz w:val="24"/>
        </w:rPr>
      </w:pPr>
      <w:r w:rsidRPr="002715D6">
        <w:rPr>
          <w:sz w:val="24"/>
        </w:rPr>
        <w:t>The Power Purchase cost is the combination of Bulk Supply price of 3</w:t>
      </w:r>
      <w:r w:rsidR="004D2F6B" w:rsidRPr="002715D6">
        <w:rPr>
          <w:sz w:val="24"/>
        </w:rPr>
        <w:t>9</w:t>
      </w:r>
      <w:r w:rsidRPr="002715D6">
        <w:rPr>
          <w:sz w:val="24"/>
        </w:rPr>
        <w:t>0 paise per unit, Transmission charge 2</w:t>
      </w:r>
      <w:r w:rsidR="004D2F6B" w:rsidRPr="002715D6">
        <w:rPr>
          <w:sz w:val="24"/>
        </w:rPr>
        <w:t>4</w:t>
      </w:r>
      <w:r w:rsidRPr="002715D6">
        <w:rPr>
          <w:sz w:val="24"/>
        </w:rPr>
        <w:t xml:space="preserve"> paise per unit, SLDC charge 0.0018 paise per unit as per prevailing tariff w.e.f. 0</w:t>
      </w:r>
      <w:r w:rsidR="004D2F6B" w:rsidRPr="002715D6">
        <w:rPr>
          <w:sz w:val="24"/>
        </w:rPr>
        <w:t>1</w:t>
      </w:r>
      <w:r w:rsidRPr="002715D6">
        <w:rPr>
          <w:sz w:val="24"/>
        </w:rPr>
        <w:t>.04.202</w:t>
      </w:r>
      <w:r w:rsidR="004D2F6B" w:rsidRPr="002715D6">
        <w:rPr>
          <w:sz w:val="24"/>
        </w:rPr>
        <w:t>4</w:t>
      </w:r>
      <w:r w:rsidRPr="002715D6">
        <w:rPr>
          <w:sz w:val="24"/>
        </w:rPr>
        <w:t xml:space="preserve"> for transmission and SLDC charges &amp; BST has been considered.</w:t>
      </w:r>
    </w:p>
    <w:p w14:paraId="67757CF5" w14:textId="77777777" w:rsidR="00F30F77" w:rsidRDefault="00F30F77" w:rsidP="00F30F77">
      <w:pPr>
        <w:pStyle w:val="ListParagraph"/>
        <w:spacing w:line="360" w:lineRule="auto"/>
        <w:ind w:left="1418" w:right="150"/>
        <w:jc w:val="both"/>
        <w:rPr>
          <w:sz w:val="24"/>
        </w:rPr>
      </w:pPr>
    </w:p>
    <w:p w14:paraId="5BDBA475" w14:textId="10501C5F" w:rsidR="00F30F77" w:rsidRDefault="00F30F77" w:rsidP="00F30F77">
      <w:pPr>
        <w:pStyle w:val="ListParagraph"/>
        <w:spacing w:line="360" w:lineRule="auto"/>
        <w:ind w:left="1418" w:right="150"/>
        <w:jc w:val="both"/>
        <w:rPr>
          <w:sz w:val="24"/>
        </w:rPr>
      </w:pPr>
      <w:r w:rsidRPr="00F30F77">
        <w:rPr>
          <w:sz w:val="24"/>
          <w:u w:val="single"/>
        </w:rPr>
        <w:t>Additional Surcharge</w:t>
      </w:r>
      <w:r>
        <w:rPr>
          <w:sz w:val="24"/>
        </w:rPr>
        <w:t xml:space="preserve"> – </w:t>
      </w:r>
    </w:p>
    <w:p w14:paraId="1C23150A" w14:textId="04A089A1" w:rsidR="00F30F77" w:rsidRPr="00F30F77" w:rsidRDefault="00F30F77" w:rsidP="00F30F77">
      <w:pPr>
        <w:pStyle w:val="ListParagraph"/>
        <w:numPr>
          <w:ilvl w:val="0"/>
          <w:numId w:val="3"/>
        </w:numPr>
        <w:spacing w:line="360" w:lineRule="auto"/>
        <w:ind w:left="1843" w:right="150" w:hanging="502"/>
        <w:jc w:val="both"/>
        <w:rPr>
          <w:sz w:val="24"/>
        </w:rPr>
      </w:pPr>
      <w:r w:rsidRPr="00F30F77">
        <w:rPr>
          <w:sz w:val="24"/>
        </w:rPr>
        <w:t xml:space="preserve">An </w:t>
      </w:r>
      <w:r>
        <w:rPr>
          <w:sz w:val="24"/>
        </w:rPr>
        <w:t>OA</w:t>
      </w:r>
      <w:r w:rsidRPr="00F30F77">
        <w:rPr>
          <w:sz w:val="24"/>
        </w:rPr>
        <w:t xml:space="preserve"> consumer, receiving supply of electricity from a person other than the distribution licensee of his area of supply, shall pay to the distribution licensee an additional surcharge on the charges of wheeling, in addition to wheeling charges and cross-subsidy surcharge, to meet out the fixed cost of such distribution licensee </w:t>
      </w:r>
      <w:r w:rsidRPr="00F30F77">
        <w:rPr>
          <w:sz w:val="24"/>
        </w:rPr>
        <w:lastRenderedPageBreak/>
        <w:t>arising out of his obligation to supply as provided under sub-section (4) of section 42 of the Act.</w:t>
      </w:r>
    </w:p>
    <w:p w14:paraId="119057FB" w14:textId="77777777" w:rsidR="001F5138" w:rsidRDefault="001F5138" w:rsidP="001F5138">
      <w:pPr>
        <w:pStyle w:val="ListParagraph"/>
        <w:spacing w:line="360" w:lineRule="auto"/>
        <w:ind w:left="1843" w:right="150"/>
        <w:jc w:val="both"/>
        <w:rPr>
          <w:sz w:val="24"/>
        </w:rPr>
      </w:pPr>
    </w:p>
    <w:p w14:paraId="41423C7B" w14:textId="3608FAF5" w:rsidR="00F30F77" w:rsidRDefault="00F30F77" w:rsidP="00F30F77">
      <w:pPr>
        <w:pStyle w:val="ListParagraph"/>
        <w:numPr>
          <w:ilvl w:val="0"/>
          <w:numId w:val="3"/>
        </w:numPr>
        <w:spacing w:line="360" w:lineRule="auto"/>
        <w:ind w:left="1843" w:right="150" w:hanging="502"/>
        <w:jc w:val="both"/>
        <w:rPr>
          <w:sz w:val="24"/>
        </w:rPr>
      </w:pPr>
      <w:r w:rsidRPr="00F30F77">
        <w:rPr>
          <w:sz w:val="24"/>
        </w:rPr>
        <w:t xml:space="preserve">This additional surcharge shall become applicable only if the obligation of the licensee in terms of power purchase commitments has been and continues to be stranded or there is an unavoidable obligation and incidence to bear fixed costs consequent to such a contract. </w:t>
      </w:r>
    </w:p>
    <w:p w14:paraId="7F1CBCA4" w14:textId="77777777" w:rsidR="00F30F77" w:rsidRDefault="00F30F77" w:rsidP="00F30F77">
      <w:pPr>
        <w:pStyle w:val="ListParagraph"/>
        <w:spacing w:line="360" w:lineRule="auto"/>
        <w:ind w:left="1843" w:right="150"/>
        <w:jc w:val="both"/>
        <w:rPr>
          <w:sz w:val="24"/>
        </w:rPr>
      </w:pPr>
      <w:r w:rsidRPr="00F30F77">
        <w:rPr>
          <w:sz w:val="24"/>
        </w:rPr>
        <w:t>Note: Fixed costs related to network assets would be recovered through wheeling charges.</w:t>
      </w:r>
    </w:p>
    <w:p w14:paraId="3A71A652" w14:textId="77777777" w:rsidR="001F5138" w:rsidRDefault="001F5138" w:rsidP="001F5138">
      <w:pPr>
        <w:pStyle w:val="ListParagraph"/>
        <w:spacing w:line="360" w:lineRule="auto"/>
        <w:ind w:left="1843" w:right="150"/>
        <w:jc w:val="both"/>
        <w:rPr>
          <w:sz w:val="24"/>
        </w:rPr>
      </w:pPr>
    </w:p>
    <w:p w14:paraId="61C2F75A" w14:textId="698BFCE4" w:rsidR="00F30F77" w:rsidRPr="00F30F77" w:rsidRDefault="00F30F77" w:rsidP="00F30F77">
      <w:pPr>
        <w:pStyle w:val="ListParagraph"/>
        <w:numPr>
          <w:ilvl w:val="0"/>
          <w:numId w:val="3"/>
        </w:numPr>
        <w:spacing w:line="360" w:lineRule="auto"/>
        <w:ind w:left="1843" w:right="150" w:hanging="502"/>
        <w:jc w:val="both"/>
        <w:rPr>
          <w:sz w:val="24"/>
        </w:rPr>
      </w:pPr>
      <w:r>
        <w:rPr>
          <w:sz w:val="24"/>
        </w:rPr>
        <w:t>T</w:t>
      </w:r>
      <w:r w:rsidRPr="00F30F77">
        <w:rPr>
          <w:sz w:val="24"/>
        </w:rPr>
        <w:t xml:space="preserve">he distribution licensee shall submit to the Commission on </w:t>
      </w:r>
      <w:proofErr w:type="gramStart"/>
      <w:r w:rsidRPr="00F30F77">
        <w:rPr>
          <w:sz w:val="24"/>
        </w:rPr>
        <w:t>six</w:t>
      </w:r>
      <w:proofErr w:type="gramEnd"/>
      <w:r>
        <w:rPr>
          <w:sz w:val="24"/>
        </w:rPr>
        <w:t>-</w:t>
      </w:r>
      <w:r w:rsidRPr="00F30F77">
        <w:rPr>
          <w:sz w:val="24"/>
        </w:rPr>
        <w:t>monthly basis, a detailed calculation statement of fixed cost, which the licensee is incurring towards his obligation to supply.</w:t>
      </w:r>
    </w:p>
    <w:p w14:paraId="54DFEC89" w14:textId="77777777" w:rsidR="001F5138" w:rsidRDefault="001F5138" w:rsidP="001F5138">
      <w:pPr>
        <w:pStyle w:val="ListParagraph"/>
        <w:spacing w:line="360" w:lineRule="auto"/>
        <w:ind w:left="1843" w:right="150"/>
        <w:jc w:val="both"/>
        <w:rPr>
          <w:sz w:val="24"/>
        </w:rPr>
      </w:pPr>
    </w:p>
    <w:p w14:paraId="0F98210C" w14:textId="35067C6B" w:rsidR="00F30F77" w:rsidRPr="00F30F77" w:rsidRDefault="00F30F77" w:rsidP="00F30F77">
      <w:pPr>
        <w:pStyle w:val="ListParagraph"/>
        <w:numPr>
          <w:ilvl w:val="0"/>
          <w:numId w:val="3"/>
        </w:numPr>
        <w:spacing w:line="360" w:lineRule="auto"/>
        <w:ind w:left="1843" w:right="150" w:hanging="502"/>
        <w:jc w:val="both"/>
        <w:rPr>
          <w:sz w:val="24"/>
        </w:rPr>
      </w:pPr>
      <w:r w:rsidRPr="00F30F77">
        <w:rPr>
          <w:sz w:val="24"/>
        </w:rPr>
        <w:t xml:space="preserve">The Commission shall scrutinize the statement of calculation of fixed cost submitted by the distribution licensee and obtain objections, if any, and determine the amount of additional </w:t>
      </w:r>
      <w:proofErr w:type="gramStart"/>
      <w:r w:rsidRPr="00F30F77">
        <w:rPr>
          <w:sz w:val="24"/>
        </w:rPr>
        <w:t>surcharge;</w:t>
      </w:r>
      <w:proofErr w:type="gramEnd"/>
    </w:p>
    <w:p w14:paraId="5A388BAB" w14:textId="77777777" w:rsidR="00F30F77" w:rsidRPr="00F30F77" w:rsidRDefault="00F30F77" w:rsidP="00F30F77">
      <w:pPr>
        <w:pStyle w:val="ListParagraph"/>
        <w:spacing w:line="360" w:lineRule="auto"/>
        <w:ind w:left="1843" w:right="150"/>
        <w:jc w:val="both"/>
        <w:rPr>
          <w:sz w:val="24"/>
        </w:rPr>
      </w:pPr>
      <w:r w:rsidRPr="00F30F77">
        <w:rPr>
          <w:sz w:val="24"/>
        </w:rPr>
        <w:t xml:space="preserve">Provided that any additional surcharge so determined by the Commission shall be applicable </w:t>
      </w:r>
      <w:proofErr w:type="gramStart"/>
      <w:r w:rsidRPr="00F30F77">
        <w:rPr>
          <w:sz w:val="24"/>
        </w:rPr>
        <w:t>on</w:t>
      </w:r>
      <w:proofErr w:type="gramEnd"/>
      <w:r w:rsidRPr="00F30F77">
        <w:rPr>
          <w:sz w:val="24"/>
        </w:rPr>
        <w:t xml:space="preserve"> all open access customers.</w:t>
      </w:r>
    </w:p>
    <w:p w14:paraId="76B358F1" w14:textId="77777777" w:rsidR="001F5138" w:rsidRDefault="001F5138" w:rsidP="001F5138">
      <w:pPr>
        <w:pStyle w:val="ListParagraph"/>
        <w:spacing w:line="360" w:lineRule="auto"/>
        <w:ind w:left="1843" w:right="150"/>
        <w:jc w:val="both"/>
        <w:rPr>
          <w:sz w:val="24"/>
        </w:rPr>
      </w:pPr>
    </w:p>
    <w:p w14:paraId="465315CF" w14:textId="2D82318A" w:rsidR="00F30F77" w:rsidRPr="00F30F77" w:rsidRDefault="00F30F77" w:rsidP="00F30F77">
      <w:pPr>
        <w:pStyle w:val="ListParagraph"/>
        <w:numPr>
          <w:ilvl w:val="0"/>
          <w:numId w:val="3"/>
        </w:numPr>
        <w:spacing w:line="360" w:lineRule="auto"/>
        <w:ind w:left="1843" w:right="150" w:hanging="502"/>
        <w:jc w:val="both"/>
        <w:rPr>
          <w:sz w:val="24"/>
        </w:rPr>
      </w:pPr>
      <w:r w:rsidRPr="00F30F77">
        <w:rPr>
          <w:sz w:val="24"/>
        </w:rPr>
        <w:t xml:space="preserve">Additional surcharge determined on Per Unit basis shall be payable, on monthly basis, by the open access consumers based on the actual energy drawn during the month through open </w:t>
      </w:r>
      <w:proofErr w:type="gramStart"/>
      <w:r w:rsidRPr="00F30F77">
        <w:rPr>
          <w:sz w:val="24"/>
        </w:rPr>
        <w:t>access;</w:t>
      </w:r>
      <w:proofErr w:type="gramEnd"/>
    </w:p>
    <w:p w14:paraId="05B905A9" w14:textId="77777777" w:rsidR="001F5138" w:rsidRPr="003545BE" w:rsidRDefault="001F5138" w:rsidP="003545BE">
      <w:pPr>
        <w:spacing w:line="360" w:lineRule="auto"/>
        <w:ind w:right="150"/>
        <w:jc w:val="both"/>
        <w:rPr>
          <w:sz w:val="24"/>
        </w:rPr>
      </w:pPr>
    </w:p>
    <w:p w14:paraId="59DBF88F" w14:textId="508553CE" w:rsidR="000150AE" w:rsidRPr="00870016" w:rsidRDefault="000150AE" w:rsidP="00870016">
      <w:pPr>
        <w:pStyle w:val="ListParagraph"/>
        <w:spacing w:line="360" w:lineRule="auto"/>
        <w:ind w:left="1418" w:right="150"/>
        <w:jc w:val="both"/>
        <w:rPr>
          <w:sz w:val="24"/>
          <w:u w:val="single"/>
        </w:rPr>
      </w:pPr>
      <w:r w:rsidRPr="00870016">
        <w:rPr>
          <w:sz w:val="24"/>
          <w:u w:val="single"/>
        </w:rPr>
        <w:t xml:space="preserve">Standby charges for </w:t>
      </w:r>
      <w:proofErr w:type="spellStart"/>
      <w:r w:rsidRPr="00870016">
        <w:rPr>
          <w:sz w:val="24"/>
          <w:u w:val="single"/>
        </w:rPr>
        <w:t>drawal</w:t>
      </w:r>
      <w:proofErr w:type="spellEnd"/>
      <w:r w:rsidRPr="00870016">
        <w:rPr>
          <w:sz w:val="24"/>
          <w:u w:val="single"/>
        </w:rPr>
        <w:t xml:space="preserve"> of power by open access customer from distribution licensee – </w:t>
      </w:r>
    </w:p>
    <w:p w14:paraId="08E55AD6" w14:textId="77777777" w:rsidR="000150AE" w:rsidRPr="00870016" w:rsidRDefault="000150AE" w:rsidP="00870016">
      <w:pPr>
        <w:pStyle w:val="ListParagraph"/>
        <w:numPr>
          <w:ilvl w:val="0"/>
          <w:numId w:val="14"/>
        </w:numPr>
        <w:spacing w:line="360" w:lineRule="auto"/>
        <w:ind w:left="1843" w:right="150" w:hanging="425"/>
        <w:jc w:val="both"/>
        <w:rPr>
          <w:sz w:val="24"/>
        </w:rPr>
      </w:pPr>
      <w:r w:rsidRPr="00870016">
        <w:rPr>
          <w:sz w:val="24"/>
        </w:rPr>
        <w:t xml:space="preserve">In cases of outages of generator supplying to open access customer under open access, standby arrangements should be provided by the distribution licensee for a maximum period of 42 days in a year, subject to the load shedding as is applicable to the embedded consumer of the licensee and the licensee shall be entitled to collect tariff under Temporary rate of charge for that category of consumer </w:t>
      </w:r>
      <w:r w:rsidRPr="00870016">
        <w:rPr>
          <w:sz w:val="24"/>
        </w:rPr>
        <w:lastRenderedPageBreak/>
        <w:t>in the prevailing rate schedule subject to the condition that such tariff shall not exceed the highest consumer retail tariff in the prevailing rate schedule:</w:t>
      </w:r>
    </w:p>
    <w:p w14:paraId="711FDD6E" w14:textId="77777777" w:rsidR="001F5138" w:rsidRDefault="001F5138" w:rsidP="00870016">
      <w:pPr>
        <w:spacing w:line="360" w:lineRule="auto"/>
        <w:ind w:left="1843" w:right="150"/>
        <w:jc w:val="both"/>
        <w:rPr>
          <w:sz w:val="24"/>
        </w:rPr>
      </w:pPr>
    </w:p>
    <w:p w14:paraId="3FE6AEF6" w14:textId="261AE715" w:rsidR="00F30F77" w:rsidRDefault="000150AE" w:rsidP="00870016">
      <w:pPr>
        <w:spacing w:line="360" w:lineRule="auto"/>
        <w:ind w:left="1843" w:right="150"/>
        <w:jc w:val="both"/>
        <w:rPr>
          <w:sz w:val="24"/>
        </w:rPr>
      </w:pPr>
      <w:r w:rsidRPr="000150AE">
        <w:rPr>
          <w:sz w:val="24"/>
        </w:rPr>
        <w:t>Provided that in cases where temporary rate of charge is not available for that consumer category, the standby arrangements shall be provided by the distribution licensee for a maximum of 42 days in a year and on payment of fixed charges of 42 days and energy charges for that category of consumer in the prevailing rate schedule:</w:t>
      </w:r>
    </w:p>
    <w:p w14:paraId="40A9CF18" w14:textId="77777777" w:rsidR="000150AE" w:rsidRPr="000150AE" w:rsidRDefault="000150AE" w:rsidP="00870016">
      <w:pPr>
        <w:spacing w:line="360" w:lineRule="auto"/>
        <w:ind w:left="1843" w:right="150"/>
        <w:jc w:val="both"/>
        <w:rPr>
          <w:sz w:val="24"/>
        </w:rPr>
      </w:pPr>
      <w:r w:rsidRPr="000150AE">
        <w:rPr>
          <w:sz w:val="24"/>
        </w:rPr>
        <w:t>Provided also that open access customers would have the option to arrange stand- by power from any other source.</w:t>
      </w:r>
    </w:p>
    <w:p w14:paraId="438454B1" w14:textId="5CE576AA" w:rsidR="000150AE" w:rsidRDefault="0005027B" w:rsidP="006C05A0">
      <w:pPr>
        <w:pStyle w:val="Heading1"/>
        <w:numPr>
          <w:ilvl w:val="0"/>
          <w:numId w:val="12"/>
        </w:numPr>
        <w:tabs>
          <w:tab w:val="left" w:pos="3177"/>
          <w:tab w:val="left" w:pos="4886"/>
          <w:tab w:val="left" w:pos="6652"/>
        </w:tabs>
        <w:spacing w:before="120" w:line="360" w:lineRule="auto"/>
        <w:ind w:left="993" w:right="141" w:hanging="426"/>
        <w:rPr>
          <w:b w:val="0"/>
          <w:bCs w:val="0"/>
        </w:rPr>
      </w:pPr>
      <w:r>
        <w:rPr>
          <w:b w:val="0"/>
          <w:bCs w:val="0"/>
        </w:rPr>
        <w:t>That, in line w</w:t>
      </w:r>
      <w:r w:rsidR="000150AE" w:rsidRPr="00870016">
        <w:rPr>
          <w:b w:val="0"/>
          <w:bCs w:val="0"/>
        </w:rPr>
        <w:t xml:space="preserve">ith above the licensee submits that </w:t>
      </w:r>
      <w:r w:rsidR="00171CCB" w:rsidRPr="00870016">
        <w:rPr>
          <w:b w:val="0"/>
          <w:bCs w:val="0"/>
        </w:rPr>
        <w:t xml:space="preserve">the following issues are </w:t>
      </w:r>
      <w:r w:rsidR="000150AE" w:rsidRPr="00870016">
        <w:rPr>
          <w:b w:val="0"/>
          <w:bCs w:val="0"/>
        </w:rPr>
        <w:t xml:space="preserve">required to be addressed </w:t>
      </w:r>
      <w:proofErr w:type="gramStart"/>
      <w:r w:rsidR="000150AE" w:rsidRPr="00870016">
        <w:rPr>
          <w:b w:val="0"/>
          <w:bCs w:val="0"/>
        </w:rPr>
        <w:t>in particular while</w:t>
      </w:r>
      <w:proofErr w:type="gramEnd"/>
      <w:r w:rsidR="000150AE" w:rsidRPr="00870016">
        <w:rPr>
          <w:b w:val="0"/>
          <w:bCs w:val="0"/>
        </w:rPr>
        <w:t xml:space="preserve"> determining open access charges of the licensee for the ensuing year FY 202</w:t>
      </w:r>
      <w:r w:rsidR="00A50541">
        <w:rPr>
          <w:b w:val="0"/>
          <w:bCs w:val="0"/>
        </w:rPr>
        <w:t>4</w:t>
      </w:r>
      <w:r w:rsidR="000150AE" w:rsidRPr="00870016">
        <w:rPr>
          <w:b w:val="0"/>
          <w:bCs w:val="0"/>
        </w:rPr>
        <w:t>-2</w:t>
      </w:r>
      <w:r w:rsidR="00A50541">
        <w:rPr>
          <w:b w:val="0"/>
          <w:bCs w:val="0"/>
        </w:rPr>
        <w:t>5</w:t>
      </w:r>
      <w:r w:rsidR="00870016">
        <w:rPr>
          <w:b w:val="0"/>
          <w:bCs w:val="0"/>
        </w:rPr>
        <w:t>:</w:t>
      </w:r>
    </w:p>
    <w:p w14:paraId="1F052108" w14:textId="77777777" w:rsidR="00B10246" w:rsidRPr="00870016" w:rsidRDefault="00B10246" w:rsidP="00B10246">
      <w:pPr>
        <w:pStyle w:val="Heading1"/>
        <w:tabs>
          <w:tab w:val="left" w:pos="3177"/>
          <w:tab w:val="left" w:pos="4886"/>
          <w:tab w:val="left" w:pos="6652"/>
        </w:tabs>
        <w:spacing w:before="120" w:line="360" w:lineRule="auto"/>
        <w:ind w:left="993" w:right="141"/>
        <w:rPr>
          <w:b w:val="0"/>
          <w:bCs w:val="0"/>
        </w:rPr>
      </w:pPr>
    </w:p>
    <w:p w14:paraId="5BED178B" w14:textId="0D1E65A1" w:rsidR="00171CCB" w:rsidRDefault="00171CCB" w:rsidP="00171CCB">
      <w:pPr>
        <w:pStyle w:val="ListParagraph"/>
        <w:numPr>
          <w:ilvl w:val="0"/>
          <w:numId w:val="5"/>
        </w:numPr>
        <w:spacing w:line="360" w:lineRule="auto"/>
        <w:ind w:right="150"/>
        <w:jc w:val="both"/>
        <w:rPr>
          <w:b/>
          <w:bCs/>
          <w:sz w:val="24"/>
        </w:rPr>
      </w:pPr>
      <w:r w:rsidRPr="00171CCB">
        <w:rPr>
          <w:b/>
          <w:bCs/>
          <w:sz w:val="24"/>
        </w:rPr>
        <w:t xml:space="preserve">Cross subsidy surcharge </w:t>
      </w:r>
      <w:bookmarkStart w:id="1" w:name="_Hlk120644870"/>
      <w:r w:rsidRPr="00171CCB">
        <w:rPr>
          <w:b/>
          <w:bCs/>
          <w:sz w:val="24"/>
        </w:rPr>
        <w:t>during peak and off</w:t>
      </w:r>
      <w:r w:rsidR="00082FE3">
        <w:rPr>
          <w:b/>
          <w:bCs/>
          <w:sz w:val="24"/>
        </w:rPr>
        <w:t>-</w:t>
      </w:r>
      <w:r w:rsidRPr="00171CCB">
        <w:rPr>
          <w:b/>
          <w:bCs/>
          <w:sz w:val="24"/>
        </w:rPr>
        <w:t>peak hour</w:t>
      </w:r>
      <w:r w:rsidR="00082FE3">
        <w:rPr>
          <w:b/>
          <w:bCs/>
          <w:sz w:val="24"/>
        </w:rPr>
        <w:t xml:space="preserve"> </w:t>
      </w:r>
      <w:bookmarkEnd w:id="1"/>
      <w:r w:rsidRPr="00171CCB">
        <w:rPr>
          <w:b/>
          <w:bCs/>
          <w:sz w:val="24"/>
        </w:rPr>
        <w:t>-</w:t>
      </w:r>
    </w:p>
    <w:p w14:paraId="2A838F5B" w14:textId="617E5F65" w:rsidR="00171CCB" w:rsidRPr="00171CCB" w:rsidRDefault="00513A0C" w:rsidP="00171CCB">
      <w:pPr>
        <w:pStyle w:val="ListParagraph"/>
        <w:spacing w:line="360" w:lineRule="auto"/>
        <w:ind w:left="1353" w:right="150"/>
        <w:jc w:val="both"/>
        <w:rPr>
          <w:sz w:val="24"/>
        </w:rPr>
      </w:pPr>
      <w:r>
        <w:rPr>
          <w:sz w:val="24"/>
        </w:rPr>
        <w:t xml:space="preserve">Consumer is getting </w:t>
      </w:r>
      <w:proofErr w:type="spellStart"/>
      <w:r>
        <w:rPr>
          <w:sz w:val="24"/>
        </w:rPr>
        <w:t>ToD</w:t>
      </w:r>
      <w:proofErr w:type="spellEnd"/>
      <w:r>
        <w:rPr>
          <w:sz w:val="24"/>
        </w:rPr>
        <w:t xml:space="preserve"> benefit as per prevailing RST d</w:t>
      </w:r>
      <w:r w:rsidR="00171CCB" w:rsidRPr="00171CCB">
        <w:rPr>
          <w:sz w:val="24"/>
        </w:rPr>
        <w:t xml:space="preserve">uring off peak hour </w:t>
      </w:r>
      <w:r>
        <w:rPr>
          <w:sz w:val="24"/>
        </w:rPr>
        <w:t>and a</w:t>
      </w:r>
      <w:r w:rsidR="00171CCB" w:rsidRPr="00171CCB">
        <w:rPr>
          <w:sz w:val="24"/>
        </w:rPr>
        <w:t xml:space="preserve">s a result </w:t>
      </w:r>
      <w:r>
        <w:rPr>
          <w:sz w:val="24"/>
        </w:rPr>
        <w:t xml:space="preserve">is </w:t>
      </w:r>
      <w:r w:rsidR="00171CCB" w:rsidRPr="00171CCB">
        <w:rPr>
          <w:sz w:val="24"/>
        </w:rPr>
        <w:t xml:space="preserve">tempted to draw more power from DISCOM </w:t>
      </w:r>
      <w:r>
        <w:rPr>
          <w:sz w:val="24"/>
        </w:rPr>
        <w:t>thereby</w:t>
      </w:r>
      <w:r w:rsidR="00171CCB" w:rsidRPr="00171CCB">
        <w:rPr>
          <w:sz w:val="24"/>
        </w:rPr>
        <w:t xml:space="preserve"> avoiding peak hour drawl due to higher RST. So</w:t>
      </w:r>
      <w:r w:rsidR="00171CCB">
        <w:rPr>
          <w:sz w:val="24"/>
        </w:rPr>
        <w:t>,</w:t>
      </w:r>
      <w:r w:rsidR="00171CCB" w:rsidRPr="00171CCB">
        <w:rPr>
          <w:sz w:val="24"/>
        </w:rPr>
        <w:t xml:space="preserve"> to maintain parity there should be two rates for CSS</w:t>
      </w:r>
      <w:r w:rsidRPr="00513A0C">
        <w:t xml:space="preserve"> </w:t>
      </w:r>
      <w:r w:rsidRPr="00513A0C">
        <w:rPr>
          <w:sz w:val="24"/>
        </w:rPr>
        <w:t>during peak and off-peak hour</w:t>
      </w:r>
      <w:r>
        <w:rPr>
          <w:sz w:val="24"/>
        </w:rPr>
        <w:t>s</w:t>
      </w:r>
      <w:r w:rsidR="00171CCB" w:rsidRPr="00171CCB">
        <w:rPr>
          <w:sz w:val="24"/>
        </w:rPr>
        <w:t>.</w:t>
      </w:r>
    </w:p>
    <w:p w14:paraId="71E256DA" w14:textId="0F46E1CF" w:rsidR="00171CCB" w:rsidRDefault="00171CCB" w:rsidP="00171CCB">
      <w:pPr>
        <w:pStyle w:val="ListParagraph"/>
        <w:spacing w:line="360" w:lineRule="auto"/>
        <w:ind w:left="1353" w:right="150"/>
        <w:jc w:val="both"/>
        <w:rPr>
          <w:b/>
          <w:bCs/>
          <w:sz w:val="24"/>
        </w:rPr>
      </w:pPr>
    </w:p>
    <w:p w14:paraId="02294369" w14:textId="009B8509" w:rsidR="00171CCB" w:rsidRPr="00171CCB" w:rsidRDefault="00171CCB" w:rsidP="00171CCB">
      <w:pPr>
        <w:pStyle w:val="ListParagraph"/>
        <w:numPr>
          <w:ilvl w:val="0"/>
          <w:numId w:val="5"/>
        </w:numPr>
        <w:spacing w:line="360" w:lineRule="auto"/>
        <w:ind w:right="150"/>
        <w:jc w:val="both"/>
        <w:rPr>
          <w:b/>
          <w:bCs/>
          <w:sz w:val="24"/>
        </w:rPr>
      </w:pPr>
      <w:r w:rsidRPr="00171CCB">
        <w:rPr>
          <w:b/>
          <w:bCs/>
          <w:sz w:val="24"/>
        </w:rPr>
        <w:t>There should be an annual plan for open access drawl</w:t>
      </w:r>
      <w:r w:rsidR="00082FE3">
        <w:rPr>
          <w:b/>
          <w:bCs/>
          <w:sz w:val="24"/>
        </w:rPr>
        <w:t xml:space="preserve"> </w:t>
      </w:r>
      <w:r w:rsidRPr="00171CCB">
        <w:rPr>
          <w:b/>
          <w:bCs/>
          <w:sz w:val="24"/>
        </w:rPr>
        <w:t>-</w:t>
      </w:r>
    </w:p>
    <w:p w14:paraId="53F1E660" w14:textId="50C4492E" w:rsidR="00171CCB" w:rsidRDefault="00171CCB" w:rsidP="00171CCB">
      <w:pPr>
        <w:pStyle w:val="ListParagraph"/>
        <w:spacing w:line="360" w:lineRule="auto"/>
        <w:ind w:left="1353" w:right="150"/>
        <w:jc w:val="both"/>
        <w:rPr>
          <w:sz w:val="24"/>
        </w:rPr>
      </w:pPr>
      <w:r w:rsidRPr="00171CCB">
        <w:rPr>
          <w:sz w:val="24"/>
        </w:rPr>
        <w:t xml:space="preserve">Industries those who intend to draw power under open access should at least give their annual tentative plan to the DISCOMs or to </w:t>
      </w:r>
      <w:r w:rsidR="00513A0C">
        <w:rPr>
          <w:sz w:val="24"/>
        </w:rPr>
        <w:t>the Commission</w:t>
      </w:r>
      <w:r w:rsidRPr="00171CCB">
        <w:rPr>
          <w:sz w:val="24"/>
        </w:rPr>
        <w:t xml:space="preserve"> for proper planning of INPUT requirement of the Utility so that procurement of costly power would be avoided as well as Utilities BSP would be protected.</w:t>
      </w:r>
      <w:r w:rsidR="00A32E7A">
        <w:rPr>
          <w:sz w:val="24"/>
        </w:rPr>
        <w:t xml:space="preserve"> </w:t>
      </w:r>
    </w:p>
    <w:p w14:paraId="678EB13A" w14:textId="77777777" w:rsidR="00171CCB" w:rsidRPr="00171CCB" w:rsidRDefault="00171CCB" w:rsidP="00171CCB">
      <w:pPr>
        <w:pStyle w:val="ListParagraph"/>
        <w:spacing w:line="360" w:lineRule="auto"/>
        <w:ind w:left="1353" w:right="150"/>
        <w:jc w:val="both"/>
        <w:rPr>
          <w:sz w:val="24"/>
        </w:rPr>
      </w:pPr>
    </w:p>
    <w:p w14:paraId="021FC0AB" w14:textId="622D9107" w:rsidR="00171CCB" w:rsidRPr="00171CCB" w:rsidRDefault="00171CCB" w:rsidP="00171CCB">
      <w:pPr>
        <w:pStyle w:val="ListParagraph"/>
        <w:numPr>
          <w:ilvl w:val="0"/>
          <w:numId w:val="5"/>
        </w:numPr>
        <w:spacing w:line="360" w:lineRule="auto"/>
        <w:ind w:right="150"/>
        <w:jc w:val="both"/>
        <w:rPr>
          <w:b/>
          <w:bCs/>
          <w:sz w:val="24"/>
        </w:rPr>
      </w:pPr>
      <w:r w:rsidRPr="00171CCB">
        <w:rPr>
          <w:b/>
          <w:bCs/>
          <w:sz w:val="24"/>
        </w:rPr>
        <w:t>Drawl of open access more than the contract Demand -</w:t>
      </w:r>
    </w:p>
    <w:p w14:paraId="04578307" w14:textId="681D4446" w:rsidR="00171CCB" w:rsidRDefault="004D2F6B" w:rsidP="00171CCB">
      <w:pPr>
        <w:pStyle w:val="ListParagraph"/>
        <w:spacing w:line="360" w:lineRule="auto"/>
        <w:ind w:left="1353" w:right="150"/>
        <w:jc w:val="both"/>
        <w:rPr>
          <w:sz w:val="24"/>
        </w:rPr>
      </w:pPr>
      <w:r>
        <w:rPr>
          <w:sz w:val="24"/>
        </w:rPr>
        <w:t>The licensee has reserved the Net Work corridor for a consumer basing upon its CD</w:t>
      </w:r>
      <w:r w:rsidR="00171CCB" w:rsidRPr="00171CCB">
        <w:rPr>
          <w:sz w:val="24"/>
        </w:rPr>
        <w:t xml:space="preserve">. </w:t>
      </w:r>
      <w:r>
        <w:rPr>
          <w:sz w:val="24"/>
        </w:rPr>
        <w:t>For which they are pa</w:t>
      </w:r>
      <w:r w:rsidR="001F7505">
        <w:rPr>
          <w:sz w:val="24"/>
        </w:rPr>
        <w:t>y</w:t>
      </w:r>
      <w:r>
        <w:rPr>
          <w:sz w:val="24"/>
        </w:rPr>
        <w:t xml:space="preserve">ing Fixed Charges. </w:t>
      </w:r>
      <w:r w:rsidR="00171CCB" w:rsidRPr="00171CCB">
        <w:rPr>
          <w:sz w:val="24"/>
        </w:rPr>
        <w:t>So</w:t>
      </w:r>
      <w:r w:rsidR="00171CCB">
        <w:rPr>
          <w:sz w:val="24"/>
        </w:rPr>
        <w:t>,</w:t>
      </w:r>
      <w:r w:rsidR="00171CCB" w:rsidRPr="00171CCB">
        <w:rPr>
          <w:sz w:val="24"/>
        </w:rPr>
        <w:t xml:space="preserve"> </w:t>
      </w:r>
      <w:r>
        <w:rPr>
          <w:sz w:val="24"/>
        </w:rPr>
        <w:t xml:space="preserve">if Open access is permitted beyond CD, the </w:t>
      </w:r>
      <w:r w:rsidR="001F7505">
        <w:rPr>
          <w:sz w:val="24"/>
        </w:rPr>
        <w:t>licensee</w:t>
      </w:r>
      <w:r>
        <w:rPr>
          <w:sz w:val="24"/>
        </w:rPr>
        <w:t xml:space="preserve"> may </w:t>
      </w:r>
      <w:proofErr w:type="gramStart"/>
      <w:r>
        <w:rPr>
          <w:sz w:val="24"/>
        </w:rPr>
        <w:t>not</w:t>
      </w:r>
      <w:proofErr w:type="gramEnd"/>
      <w:r>
        <w:rPr>
          <w:sz w:val="24"/>
        </w:rPr>
        <w:t xml:space="preserve"> able to accommodate/</w:t>
      </w:r>
      <w:r w:rsidR="001F7505">
        <w:rPr>
          <w:sz w:val="24"/>
        </w:rPr>
        <w:t xml:space="preserve">serve </w:t>
      </w:r>
      <w:r w:rsidR="001F7505">
        <w:rPr>
          <w:sz w:val="24"/>
        </w:rPr>
        <w:lastRenderedPageBreak/>
        <w:t>other</w:t>
      </w:r>
      <w:r>
        <w:rPr>
          <w:sz w:val="24"/>
        </w:rPr>
        <w:t xml:space="preserve"> </w:t>
      </w:r>
      <w:proofErr w:type="spellStart"/>
      <w:r>
        <w:rPr>
          <w:sz w:val="24"/>
        </w:rPr>
        <w:t>bonafide</w:t>
      </w:r>
      <w:proofErr w:type="spellEnd"/>
      <w:r>
        <w:rPr>
          <w:sz w:val="24"/>
        </w:rPr>
        <w:t xml:space="preserve"> consumers</w:t>
      </w:r>
      <w:r w:rsidR="001F7505">
        <w:rPr>
          <w:sz w:val="24"/>
        </w:rPr>
        <w:t xml:space="preserve"> who are connected with the same system. T</w:t>
      </w:r>
      <w:r w:rsidR="00171CCB" w:rsidRPr="00171CCB">
        <w:rPr>
          <w:sz w:val="24"/>
        </w:rPr>
        <w:t>o avoid such difficulties of the DISCOMs open access should not be permitted for the consumer who intends to draw more than its contract demand (CD).</w:t>
      </w:r>
    </w:p>
    <w:p w14:paraId="529E9289" w14:textId="77777777" w:rsidR="00171CCB" w:rsidRPr="00171CCB" w:rsidRDefault="00171CCB" w:rsidP="00171CCB">
      <w:pPr>
        <w:pStyle w:val="ListParagraph"/>
        <w:spacing w:line="360" w:lineRule="auto"/>
        <w:ind w:left="1353" w:right="150"/>
        <w:jc w:val="both"/>
        <w:rPr>
          <w:sz w:val="24"/>
        </w:rPr>
      </w:pPr>
    </w:p>
    <w:p w14:paraId="2C4A5346" w14:textId="684DE634" w:rsidR="00171CCB" w:rsidRPr="00171CCB" w:rsidRDefault="00171CCB" w:rsidP="00171CCB">
      <w:pPr>
        <w:pStyle w:val="ListParagraph"/>
        <w:numPr>
          <w:ilvl w:val="0"/>
          <w:numId w:val="5"/>
        </w:numPr>
        <w:spacing w:line="360" w:lineRule="auto"/>
        <w:ind w:right="150"/>
        <w:jc w:val="both"/>
        <w:rPr>
          <w:b/>
          <w:bCs/>
          <w:sz w:val="24"/>
        </w:rPr>
      </w:pPr>
      <w:r w:rsidRPr="00171CCB">
        <w:rPr>
          <w:b/>
          <w:bCs/>
          <w:sz w:val="24"/>
        </w:rPr>
        <w:t>Wheeling of power by industries having CGP</w:t>
      </w:r>
      <w:r w:rsidR="00082FE3">
        <w:rPr>
          <w:b/>
          <w:bCs/>
          <w:sz w:val="24"/>
        </w:rPr>
        <w:t xml:space="preserve"> </w:t>
      </w:r>
      <w:r w:rsidRPr="00171CCB">
        <w:rPr>
          <w:b/>
          <w:bCs/>
          <w:sz w:val="24"/>
        </w:rPr>
        <w:t>-</w:t>
      </w:r>
    </w:p>
    <w:p w14:paraId="7A6BE243" w14:textId="38C51FBA" w:rsidR="00171CCB" w:rsidRDefault="00171CCB" w:rsidP="00171CCB">
      <w:pPr>
        <w:spacing w:line="360" w:lineRule="auto"/>
        <w:ind w:left="1353" w:right="150"/>
        <w:jc w:val="both"/>
        <w:rPr>
          <w:sz w:val="24"/>
        </w:rPr>
      </w:pPr>
      <w:r w:rsidRPr="00171CCB">
        <w:rPr>
          <w:sz w:val="24"/>
        </w:rPr>
        <w:t xml:space="preserve">CGP are allowed to carry their own power to the destination without levy of CSS. However, they are supposed </w:t>
      </w:r>
      <w:r w:rsidR="005D02DA">
        <w:rPr>
          <w:sz w:val="24"/>
        </w:rPr>
        <w:t xml:space="preserve">to </w:t>
      </w:r>
      <w:r w:rsidRPr="00171CCB">
        <w:rPr>
          <w:sz w:val="24"/>
        </w:rPr>
        <w:t xml:space="preserve">pay wheeling charges to the respective licensees. </w:t>
      </w:r>
      <w:proofErr w:type="gramStart"/>
      <w:r w:rsidRPr="00171CCB">
        <w:rPr>
          <w:sz w:val="24"/>
        </w:rPr>
        <w:t>But,</w:t>
      </w:r>
      <w:proofErr w:type="gramEnd"/>
      <w:r w:rsidRPr="00171CCB">
        <w:rPr>
          <w:sz w:val="24"/>
        </w:rPr>
        <w:t xml:space="preserve"> most of the industries are trying to avoid the same as because they have drawn the line of their own. As per </w:t>
      </w:r>
      <w:r w:rsidR="00513A0C">
        <w:rPr>
          <w:sz w:val="24"/>
        </w:rPr>
        <w:t>EA, 2003</w:t>
      </w:r>
      <w:r w:rsidRPr="00171CCB">
        <w:rPr>
          <w:sz w:val="24"/>
        </w:rPr>
        <w:t xml:space="preserve"> a consumer is not permissible to operate a distribution system without having a distribution licensee and hence the line so drawn is part of the distribution system and levy of wheeling charges is inevitable. Necessary direction in this regard may kindly be given while approving open access charges for the ensuing year for the licensee.</w:t>
      </w:r>
    </w:p>
    <w:p w14:paraId="47B5FFB3" w14:textId="77777777" w:rsidR="00171CCB" w:rsidRPr="00171CCB" w:rsidRDefault="00171CCB" w:rsidP="00171CCB">
      <w:pPr>
        <w:spacing w:line="360" w:lineRule="auto"/>
        <w:ind w:left="1353" w:right="150"/>
        <w:jc w:val="both"/>
        <w:rPr>
          <w:sz w:val="24"/>
        </w:rPr>
      </w:pPr>
    </w:p>
    <w:p w14:paraId="463B32D5" w14:textId="0584AFC3" w:rsidR="00171CCB" w:rsidRDefault="00171CCB" w:rsidP="00171CCB">
      <w:pPr>
        <w:pStyle w:val="ListParagraph"/>
        <w:numPr>
          <w:ilvl w:val="0"/>
          <w:numId w:val="5"/>
        </w:numPr>
        <w:spacing w:line="360" w:lineRule="auto"/>
        <w:ind w:right="150"/>
        <w:jc w:val="both"/>
        <w:rPr>
          <w:b/>
          <w:bCs/>
          <w:sz w:val="24"/>
        </w:rPr>
      </w:pPr>
      <w:r w:rsidRPr="00171CCB">
        <w:rPr>
          <w:b/>
          <w:bCs/>
          <w:sz w:val="24"/>
        </w:rPr>
        <w:t>Recovery of Regulatory Assets</w:t>
      </w:r>
      <w:r w:rsidR="00082FE3">
        <w:rPr>
          <w:b/>
          <w:bCs/>
          <w:sz w:val="24"/>
        </w:rPr>
        <w:t xml:space="preserve"> </w:t>
      </w:r>
      <w:r w:rsidRPr="00171CCB">
        <w:rPr>
          <w:b/>
          <w:bCs/>
          <w:sz w:val="24"/>
        </w:rPr>
        <w:t>-</w:t>
      </w:r>
    </w:p>
    <w:p w14:paraId="307C86DA" w14:textId="63C92D9C" w:rsidR="00171CCB" w:rsidRDefault="00171CCB" w:rsidP="00171CCB">
      <w:pPr>
        <w:pStyle w:val="BodyText"/>
        <w:spacing w:before="100" w:line="360" w:lineRule="auto"/>
        <w:ind w:left="1353" w:right="147"/>
        <w:jc w:val="both"/>
      </w:pPr>
      <w:r>
        <w:t>Recovery</w:t>
      </w:r>
      <w:r>
        <w:rPr>
          <w:spacing w:val="1"/>
        </w:rPr>
        <w:t xml:space="preserve"> </w:t>
      </w:r>
      <w:r>
        <w:t>of</w:t>
      </w:r>
      <w:r>
        <w:rPr>
          <w:spacing w:val="1"/>
        </w:rPr>
        <w:t xml:space="preserve"> </w:t>
      </w:r>
      <w:r>
        <w:t>RA</w:t>
      </w:r>
      <w:r>
        <w:rPr>
          <w:spacing w:val="1"/>
        </w:rPr>
        <w:t xml:space="preserve"> </w:t>
      </w:r>
      <w:r>
        <w:t>should</w:t>
      </w:r>
      <w:r>
        <w:rPr>
          <w:spacing w:val="1"/>
        </w:rPr>
        <w:t xml:space="preserve"> </w:t>
      </w:r>
      <w:r>
        <w:t>also</w:t>
      </w:r>
      <w:r>
        <w:rPr>
          <w:spacing w:val="1"/>
        </w:rPr>
        <w:t xml:space="preserve"> </w:t>
      </w:r>
      <w:r>
        <w:t>be</w:t>
      </w:r>
      <w:r>
        <w:rPr>
          <w:spacing w:val="1"/>
        </w:rPr>
        <w:t xml:space="preserve"> </w:t>
      </w:r>
      <w:r>
        <w:t>a</w:t>
      </w:r>
      <w:r>
        <w:rPr>
          <w:spacing w:val="1"/>
        </w:rPr>
        <w:t xml:space="preserve"> </w:t>
      </w:r>
      <w:r>
        <w:t>part</w:t>
      </w:r>
      <w:r>
        <w:rPr>
          <w:spacing w:val="1"/>
        </w:rPr>
        <w:t xml:space="preserve"> </w:t>
      </w:r>
      <w:r w:rsidRPr="00171CCB">
        <w:rPr>
          <w:szCs w:val="22"/>
        </w:rPr>
        <w:t>of CSS or may be recovered through additional surcharge. As because the consumer who is opting for open access was a part of the distribution system when Regulatory Asset were created</w:t>
      </w:r>
      <w:r>
        <w:rPr>
          <w:spacing w:val="-1"/>
        </w:rPr>
        <w:t xml:space="preserve"> </w:t>
      </w:r>
      <w:r>
        <w:t>due</w:t>
      </w:r>
      <w:r>
        <w:rPr>
          <w:spacing w:val="-2"/>
        </w:rPr>
        <w:t xml:space="preserve"> </w:t>
      </w:r>
      <w:r>
        <w:t>to</w:t>
      </w:r>
      <w:r>
        <w:rPr>
          <w:spacing w:val="-2"/>
        </w:rPr>
        <w:t xml:space="preserve"> </w:t>
      </w:r>
      <w:r>
        <w:t>under</w:t>
      </w:r>
      <w:r>
        <w:rPr>
          <w:spacing w:val="-5"/>
        </w:rPr>
        <w:t xml:space="preserve"> </w:t>
      </w:r>
      <w:r>
        <w:t>recovery</w:t>
      </w:r>
      <w:r>
        <w:rPr>
          <w:spacing w:val="-3"/>
        </w:rPr>
        <w:t xml:space="preserve"> </w:t>
      </w:r>
      <w:r>
        <w:t>of</w:t>
      </w:r>
      <w:r>
        <w:rPr>
          <w:spacing w:val="-2"/>
        </w:rPr>
        <w:t xml:space="preserve"> </w:t>
      </w:r>
      <w:r>
        <w:t>tariff.</w:t>
      </w:r>
    </w:p>
    <w:p w14:paraId="37E795AF" w14:textId="77777777" w:rsidR="00171CCB" w:rsidRDefault="00171CCB" w:rsidP="00171CCB">
      <w:pPr>
        <w:pStyle w:val="BodyText"/>
        <w:spacing w:before="100" w:line="360" w:lineRule="auto"/>
        <w:ind w:left="1353" w:right="147"/>
        <w:jc w:val="both"/>
      </w:pPr>
    </w:p>
    <w:p w14:paraId="32ECA147" w14:textId="0EAD8D3D" w:rsidR="00171CCB" w:rsidRPr="00171CCB" w:rsidRDefault="00171CCB" w:rsidP="00171CCB">
      <w:pPr>
        <w:pStyle w:val="ListParagraph"/>
        <w:numPr>
          <w:ilvl w:val="0"/>
          <w:numId w:val="5"/>
        </w:numPr>
        <w:spacing w:line="360" w:lineRule="auto"/>
        <w:ind w:right="150"/>
        <w:jc w:val="both"/>
        <w:rPr>
          <w:b/>
          <w:bCs/>
          <w:sz w:val="24"/>
        </w:rPr>
      </w:pPr>
      <w:r w:rsidRPr="00171CCB">
        <w:rPr>
          <w:b/>
          <w:bCs/>
          <w:sz w:val="24"/>
        </w:rPr>
        <w:t>Recovery of Stranded cost</w:t>
      </w:r>
      <w:r w:rsidR="00082FE3">
        <w:rPr>
          <w:b/>
          <w:bCs/>
          <w:sz w:val="24"/>
        </w:rPr>
        <w:t xml:space="preserve"> </w:t>
      </w:r>
      <w:r w:rsidRPr="00171CCB">
        <w:rPr>
          <w:b/>
          <w:bCs/>
          <w:sz w:val="24"/>
        </w:rPr>
        <w:t>-</w:t>
      </w:r>
    </w:p>
    <w:p w14:paraId="3AF3DFF5" w14:textId="15A513F4" w:rsidR="00171CCB" w:rsidRDefault="00171CCB" w:rsidP="00171CCB">
      <w:pPr>
        <w:pStyle w:val="ListParagraph"/>
        <w:numPr>
          <w:ilvl w:val="0"/>
          <w:numId w:val="6"/>
        </w:numPr>
        <w:spacing w:line="360" w:lineRule="auto"/>
        <w:ind w:left="1701" w:right="145" w:hanging="283"/>
        <w:contextualSpacing w:val="0"/>
        <w:jc w:val="both"/>
        <w:rPr>
          <w:rFonts w:ascii="Arial MT" w:hAnsi="Arial MT"/>
          <w:sz w:val="24"/>
        </w:rPr>
      </w:pPr>
      <w:r>
        <w:rPr>
          <w:sz w:val="24"/>
        </w:rPr>
        <w:t>When an Open Access Consumer’s drawl quantum is more Licensee are unable to</w:t>
      </w:r>
      <w:r>
        <w:rPr>
          <w:spacing w:val="1"/>
          <w:sz w:val="24"/>
        </w:rPr>
        <w:t xml:space="preserve"> </w:t>
      </w:r>
      <w:r>
        <w:rPr>
          <w:sz w:val="24"/>
        </w:rPr>
        <w:t>recover</w:t>
      </w:r>
      <w:r>
        <w:rPr>
          <w:spacing w:val="-1"/>
          <w:sz w:val="24"/>
        </w:rPr>
        <w:t xml:space="preserve"> </w:t>
      </w:r>
      <w:r>
        <w:rPr>
          <w:sz w:val="24"/>
        </w:rPr>
        <w:t>the approved</w:t>
      </w:r>
      <w:r>
        <w:rPr>
          <w:spacing w:val="1"/>
          <w:sz w:val="24"/>
        </w:rPr>
        <w:t xml:space="preserve"> </w:t>
      </w:r>
      <w:r>
        <w:rPr>
          <w:sz w:val="24"/>
        </w:rPr>
        <w:t>Cost which</w:t>
      </w:r>
      <w:r>
        <w:rPr>
          <w:spacing w:val="-2"/>
          <w:sz w:val="24"/>
        </w:rPr>
        <w:t xml:space="preserve"> </w:t>
      </w:r>
      <w:r>
        <w:rPr>
          <w:sz w:val="24"/>
        </w:rPr>
        <w:t>in turn</w:t>
      </w:r>
      <w:r>
        <w:rPr>
          <w:spacing w:val="-1"/>
          <w:sz w:val="24"/>
        </w:rPr>
        <w:t xml:space="preserve"> </w:t>
      </w:r>
      <w:r>
        <w:rPr>
          <w:sz w:val="24"/>
        </w:rPr>
        <w:t>affects</w:t>
      </w:r>
      <w:r>
        <w:rPr>
          <w:spacing w:val="1"/>
          <w:sz w:val="24"/>
        </w:rPr>
        <w:t xml:space="preserve"> </w:t>
      </w:r>
      <w:proofErr w:type="gramStart"/>
      <w:r>
        <w:rPr>
          <w:sz w:val="24"/>
        </w:rPr>
        <w:t>it’s</w:t>
      </w:r>
      <w:proofErr w:type="gramEnd"/>
      <w:r>
        <w:rPr>
          <w:spacing w:val="-2"/>
          <w:sz w:val="24"/>
        </w:rPr>
        <w:t xml:space="preserve"> </w:t>
      </w:r>
      <w:r>
        <w:rPr>
          <w:sz w:val="24"/>
        </w:rPr>
        <w:t>BSP.</w:t>
      </w:r>
    </w:p>
    <w:p w14:paraId="38E39890" w14:textId="19CAD6F4" w:rsidR="00171CCB" w:rsidRDefault="00171CCB" w:rsidP="00171CCB">
      <w:pPr>
        <w:pStyle w:val="ListParagraph"/>
        <w:numPr>
          <w:ilvl w:val="0"/>
          <w:numId w:val="6"/>
        </w:numPr>
        <w:spacing w:before="239" w:line="360" w:lineRule="auto"/>
        <w:ind w:left="1701" w:right="145" w:hanging="283"/>
        <w:contextualSpacing w:val="0"/>
        <w:jc w:val="both"/>
        <w:rPr>
          <w:rFonts w:ascii="Arial MT" w:hAnsi="Arial MT"/>
          <w:sz w:val="24"/>
        </w:rPr>
      </w:pPr>
      <w:r>
        <w:rPr>
          <w:sz w:val="24"/>
        </w:rPr>
        <w:t>The CSS is being determined &amp; recovered based on the ECR, limiting to a capping of</w:t>
      </w:r>
      <w:r>
        <w:rPr>
          <w:spacing w:val="1"/>
          <w:sz w:val="24"/>
        </w:rPr>
        <w:t xml:space="preserve"> </w:t>
      </w:r>
      <w:r>
        <w:rPr>
          <w:sz w:val="24"/>
        </w:rPr>
        <w:t xml:space="preserve">(+/-) 20% (as per NTP). However, it is not </w:t>
      </w:r>
      <w:proofErr w:type="gramStart"/>
      <w:r>
        <w:rPr>
          <w:sz w:val="24"/>
        </w:rPr>
        <w:t>sufficient enough</w:t>
      </w:r>
      <w:proofErr w:type="gramEnd"/>
      <w:r>
        <w:rPr>
          <w:sz w:val="24"/>
        </w:rPr>
        <w:t xml:space="preserve"> to neutralize the cost of</w:t>
      </w:r>
      <w:r>
        <w:rPr>
          <w:spacing w:val="1"/>
          <w:sz w:val="24"/>
        </w:rPr>
        <w:t xml:space="preserve"> </w:t>
      </w:r>
      <w:r>
        <w:rPr>
          <w:sz w:val="24"/>
        </w:rPr>
        <w:t>power being incurred on account of long term PPAs with generators, to whom fixed</w:t>
      </w:r>
      <w:r>
        <w:rPr>
          <w:spacing w:val="1"/>
          <w:sz w:val="24"/>
        </w:rPr>
        <w:t xml:space="preserve"> </w:t>
      </w:r>
      <w:r>
        <w:rPr>
          <w:sz w:val="24"/>
        </w:rPr>
        <w:t>cost</w:t>
      </w:r>
      <w:r>
        <w:rPr>
          <w:spacing w:val="-2"/>
          <w:sz w:val="24"/>
        </w:rPr>
        <w:t xml:space="preserve"> </w:t>
      </w:r>
      <w:r>
        <w:rPr>
          <w:sz w:val="24"/>
        </w:rPr>
        <w:t>shall have</w:t>
      </w:r>
      <w:r>
        <w:rPr>
          <w:spacing w:val="-1"/>
          <w:sz w:val="24"/>
        </w:rPr>
        <w:t xml:space="preserve"> </w:t>
      </w:r>
      <w:r>
        <w:rPr>
          <w:sz w:val="24"/>
        </w:rPr>
        <w:t>to</w:t>
      </w:r>
      <w:r>
        <w:rPr>
          <w:spacing w:val="-2"/>
          <w:sz w:val="24"/>
        </w:rPr>
        <w:t xml:space="preserve"> </w:t>
      </w:r>
      <w:r>
        <w:rPr>
          <w:sz w:val="24"/>
        </w:rPr>
        <w:t>be paid irrespective of</w:t>
      </w:r>
      <w:r>
        <w:rPr>
          <w:spacing w:val="-1"/>
          <w:sz w:val="24"/>
        </w:rPr>
        <w:t xml:space="preserve"> </w:t>
      </w:r>
      <w:r>
        <w:rPr>
          <w:sz w:val="24"/>
        </w:rPr>
        <w:t>drawl</w:t>
      </w:r>
      <w:r>
        <w:rPr>
          <w:spacing w:val="-1"/>
          <w:sz w:val="24"/>
        </w:rPr>
        <w:t xml:space="preserve"> </w:t>
      </w:r>
      <w:r>
        <w:rPr>
          <w:sz w:val="24"/>
        </w:rPr>
        <w:t>of</w:t>
      </w:r>
      <w:r>
        <w:rPr>
          <w:spacing w:val="-2"/>
          <w:sz w:val="24"/>
        </w:rPr>
        <w:t xml:space="preserve"> </w:t>
      </w:r>
      <w:r>
        <w:rPr>
          <w:sz w:val="24"/>
        </w:rPr>
        <w:t>power in</w:t>
      </w:r>
      <w:r>
        <w:rPr>
          <w:spacing w:val="-1"/>
          <w:sz w:val="24"/>
        </w:rPr>
        <w:t xml:space="preserve"> </w:t>
      </w:r>
      <w:r>
        <w:rPr>
          <w:sz w:val="24"/>
        </w:rPr>
        <w:t>real</w:t>
      </w:r>
      <w:r>
        <w:rPr>
          <w:spacing w:val="-1"/>
          <w:sz w:val="24"/>
        </w:rPr>
        <w:t xml:space="preserve"> </w:t>
      </w:r>
      <w:r>
        <w:rPr>
          <w:sz w:val="24"/>
        </w:rPr>
        <w:t>time.</w:t>
      </w:r>
    </w:p>
    <w:p w14:paraId="0E60AEFF" w14:textId="77777777" w:rsidR="00171CCB" w:rsidRDefault="00171CCB" w:rsidP="00171CCB">
      <w:pPr>
        <w:pStyle w:val="ListParagraph"/>
        <w:numPr>
          <w:ilvl w:val="0"/>
          <w:numId w:val="6"/>
        </w:numPr>
        <w:spacing w:before="242" w:line="360" w:lineRule="auto"/>
        <w:ind w:left="1701" w:right="145" w:hanging="283"/>
        <w:contextualSpacing w:val="0"/>
        <w:jc w:val="both"/>
        <w:rPr>
          <w:rFonts w:ascii="Arial MT" w:hAnsi="Arial MT"/>
          <w:sz w:val="24"/>
        </w:rPr>
      </w:pPr>
      <w:r>
        <w:rPr>
          <w:sz w:val="24"/>
        </w:rPr>
        <w:t xml:space="preserve">Therefore, Additional Surcharge is inevitable in the context of recovery </w:t>
      </w:r>
      <w:r>
        <w:rPr>
          <w:sz w:val="24"/>
        </w:rPr>
        <w:lastRenderedPageBreak/>
        <w:t>of stranded</w:t>
      </w:r>
      <w:r>
        <w:rPr>
          <w:spacing w:val="1"/>
          <w:sz w:val="24"/>
        </w:rPr>
        <w:t xml:space="preserve"> </w:t>
      </w:r>
      <w:r>
        <w:rPr>
          <w:sz w:val="24"/>
        </w:rPr>
        <w:t>fixed cost</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Open Access</w:t>
      </w:r>
      <w:r>
        <w:rPr>
          <w:spacing w:val="-1"/>
          <w:sz w:val="24"/>
        </w:rPr>
        <w:t xml:space="preserve"> </w:t>
      </w:r>
      <w:r>
        <w:rPr>
          <w:sz w:val="24"/>
        </w:rPr>
        <w:t>Customers.</w:t>
      </w:r>
    </w:p>
    <w:p w14:paraId="2E262895" w14:textId="4A4205BA" w:rsidR="00171CCB" w:rsidRPr="00171CCB" w:rsidRDefault="00171CCB" w:rsidP="00171CCB">
      <w:pPr>
        <w:pStyle w:val="ListParagraph"/>
        <w:numPr>
          <w:ilvl w:val="0"/>
          <w:numId w:val="6"/>
        </w:numPr>
        <w:spacing w:before="241" w:line="360" w:lineRule="auto"/>
        <w:ind w:left="1701" w:right="149" w:hanging="283"/>
        <w:contextualSpacing w:val="0"/>
        <w:jc w:val="both"/>
        <w:rPr>
          <w:rFonts w:ascii="Arial MT" w:hAnsi="Arial MT"/>
        </w:rPr>
      </w:pPr>
      <w:r>
        <w:rPr>
          <w:sz w:val="24"/>
        </w:rPr>
        <w:t>Many States like Gujrat, Maharashtra, Rajasthan, Punjab &amp; Delhi have implemented</w:t>
      </w:r>
      <w:r>
        <w:rPr>
          <w:spacing w:val="1"/>
          <w:sz w:val="24"/>
        </w:rPr>
        <w:t xml:space="preserve"> </w:t>
      </w:r>
      <w:r>
        <w:rPr>
          <w:sz w:val="24"/>
        </w:rPr>
        <w:t>levy</w:t>
      </w:r>
      <w:r>
        <w:rPr>
          <w:spacing w:val="1"/>
          <w:sz w:val="24"/>
        </w:rPr>
        <w:t xml:space="preserve"> </w:t>
      </w:r>
      <w:r>
        <w:rPr>
          <w:sz w:val="24"/>
        </w:rPr>
        <w:t>of</w:t>
      </w:r>
      <w:r>
        <w:rPr>
          <w:spacing w:val="1"/>
          <w:sz w:val="24"/>
        </w:rPr>
        <w:t xml:space="preserve"> </w:t>
      </w:r>
      <w:r>
        <w:rPr>
          <w:sz w:val="24"/>
        </w:rPr>
        <w:t>Additional</w:t>
      </w:r>
      <w:r>
        <w:rPr>
          <w:spacing w:val="1"/>
          <w:sz w:val="24"/>
        </w:rPr>
        <w:t xml:space="preserve"> </w:t>
      </w:r>
      <w:r>
        <w:rPr>
          <w:sz w:val="24"/>
        </w:rPr>
        <w:t>Surcharge,</w:t>
      </w:r>
      <w:r>
        <w:rPr>
          <w:spacing w:val="1"/>
          <w:sz w:val="24"/>
        </w:rPr>
        <w:t xml:space="preserve"> </w:t>
      </w:r>
      <w:r>
        <w:rPr>
          <w:sz w:val="24"/>
        </w:rPr>
        <w:t>Standby</w:t>
      </w:r>
      <w:r>
        <w:rPr>
          <w:spacing w:val="1"/>
          <w:sz w:val="24"/>
        </w:rPr>
        <w:t xml:space="preserve"> </w:t>
      </w:r>
      <w:r>
        <w:rPr>
          <w:sz w:val="24"/>
        </w:rPr>
        <w:t>Charge,</w:t>
      </w:r>
      <w:r>
        <w:rPr>
          <w:spacing w:val="1"/>
          <w:sz w:val="24"/>
        </w:rPr>
        <w:t xml:space="preserve"> </w:t>
      </w:r>
      <w:r>
        <w:rPr>
          <w:sz w:val="24"/>
        </w:rPr>
        <w:t>Regulatory</w:t>
      </w:r>
      <w:r>
        <w:rPr>
          <w:spacing w:val="1"/>
          <w:sz w:val="24"/>
        </w:rPr>
        <w:t xml:space="preserve"> </w:t>
      </w:r>
      <w:r>
        <w:rPr>
          <w:sz w:val="24"/>
        </w:rPr>
        <w:t>Surcharges</w:t>
      </w:r>
      <w:r>
        <w:rPr>
          <w:spacing w:val="1"/>
          <w:sz w:val="24"/>
        </w:rPr>
        <w:t xml:space="preserve"> </w:t>
      </w:r>
      <w:r>
        <w:rPr>
          <w:sz w:val="24"/>
        </w:rPr>
        <w:t>for</w:t>
      </w:r>
      <w:r>
        <w:rPr>
          <w:spacing w:val="1"/>
          <w:sz w:val="24"/>
        </w:rPr>
        <w:t xml:space="preserve"> </w:t>
      </w:r>
      <w:r>
        <w:rPr>
          <w:sz w:val="24"/>
        </w:rPr>
        <w:t>Open</w:t>
      </w:r>
      <w:r>
        <w:rPr>
          <w:spacing w:val="1"/>
          <w:sz w:val="24"/>
        </w:rPr>
        <w:t xml:space="preserve"> </w:t>
      </w:r>
      <w:r>
        <w:rPr>
          <w:sz w:val="24"/>
        </w:rPr>
        <w:t>Access</w:t>
      </w:r>
      <w:r>
        <w:rPr>
          <w:spacing w:val="-2"/>
          <w:sz w:val="24"/>
        </w:rPr>
        <w:t xml:space="preserve"> </w:t>
      </w:r>
      <w:r>
        <w:rPr>
          <w:sz w:val="24"/>
        </w:rPr>
        <w:t>Customers</w:t>
      </w:r>
      <w:r>
        <w:t>.</w:t>
      </w:r>
    </w:p>
    <w:p w14:paraId="08EF9B99" w14:textId="47201E04" w:rsidR="00171CCB" w:rsidRPr="00B74327" w:rsidRDefault="00171CCB" w:rsidP="006477DE">
      <w:pPr>
        <w:pStyle w:val="Heading1"/>
        <w:numPr>
          <w:ilvl w:val="0"/>
          <w:numId w:val="16"/>
        </w:numPr>
        <w:tabs>
          <w:tab w:val="left" w:pos="3177"/>
          <w:tab w:val="left" w:pos="4886"/>
          <w:tab w:val="left" w:pos="6652"/>
        </w:tabs>
        <w:spacing w:before="120" w:line="360" w:lineRule="auto"/>
        <w:ind w:right="141"/>
        <w:rPr>
          <w:b w:val="0"/>
          <w:bCs w:val="0"/>
        </w:rPr>
      </w:pPr>
      <w:r w:rsidRPr="00B74327">
        <w:rPr>
          <w:b w:val="0"/>
          <w:bCs w:val="0"/>
        </w:rPr>
        <w:t>Modification</w:t>
      </w:r>
      <w:r w:rsidRPr="00B74327">
        <w:rPr>
          <w:b w:val="0"/>
          <w:bCs w:val="0"/>
          <w:spacing w:val="1"/>
        </w:rPr>
        <w:t xml:space="preserve"> </w:t>
      </w:r>
      <w:r w:rsidRPr="00B74327">
        <w:rPr>
          <w:b w:val="0"/>
          <w:bCs w:val="0"/>
        </w:rPr>
        <w:t>suggested</w:t>
      </w:r>
      <w:r w:rsidRPr="00B74327">
        <w:rPr>
          <w:b w:val="0"/>
          <w:bCs w:val="0"/>
          <w:spacing w:val="1"/>
        </w:rPr>
        <w:t xml:space="preserve"> </w:t>
      </w:r>
      <w:r w:rsidRPr="00B74327">
        <w:rPr>
          <w:b w:val="0"/>
          <w:bCs w:val="0"/>
        </w:rPr>
        <w:t>to</w:t>
      </w:r>
      <w:r w:rsidRPr="00B74327">
        <w:rPr>
          <w:b w:val="0"/>
          <w:bCs w:val="0"/>
          <w:spacing w:val="1"/>
        </w:rPr>
        <w:t xml:space="preserve"> </w:t>
      </w:r>
      <w:r w:rsidRPr="00B74327">
        <w:rPr>
          <w:b w:val="0"/>
          <w:bCs w:val="0"/>
        </w:rPr>
        <w:t>incorporate</w:t>
      </w:r>
      <w:r w:rsidRPr="00B74327">
        <w:rPr>
          <w:b w:val="0"/>
          <w:bCs w:val="0"/>
          <w:spacing w:val="1"/>
        </w:rPr>
        <w:t xml:space="preserve"> </w:t>
      </w:r>
      <w:r w:rsidRPr="00B74327">
        <w:rPr>
          <w:b w:val="0"/>
          <w:bCs w:val="0"/>
        </w:rPr>
        <w:t>in</w:t>
      </w:r>
      <w:r w:rsidRPr="00B74327">
        <w:rPr>
          <w:b w:val="0"/>
          <w:bCs w:val="0"/>
          <w:spacing w:val="1"/>
        </w:rPr>
        <w:t xml:space="preserve"> </w:t>
      </w:r>
      <w:r w:rsidRPr="00B74327">
        <w:rPr>
          <w:b w:val="0"/>
          <w:bCs w:val="0"/>
        </w:rPr>
        <w:t>Regulation</w:t>
      </w:r>
      <w:r w:rsidRPr="00B74327">
        <w:rPr>
          <w:b w:val="0"/>
          <w:bCs w:val="0"/>
          <w:spacing w:val="1"/>
        </w:rPr>
        <w:t xml:space="preserve"> </w:t>
      </w:r>
      <w:r w:rsidRPr="00B74327">
        <w:rPr>
          <w:b w:val="0"/>
          <w:bCs w:val="0"/>
        </w:rPr>
        <w:t>&amp;</w:t>
      </w:r>
      <w:r w:rsidRPr="00B74327">
        <w:rPr>
          <w:b w:val="0"/>
          <w:bCs w:val="0"/>
          <w:spacing w:val="1"/>
        </w:rPr>
        <w:t xml:space="preserve"> </w:t>
      </w:r>
      <w:r w:rsidRPr="00B74327">
        <w:rPr>
          <w:b w:val="0"/>
          <w:bCs w:val="0"/>
        </w:rPr>
        <w:t>Open</w:t>
      </w:r>
      <w:r w:rsidRPr="00B74327">
        <w:rPr>
          <w:b w:val="0"/>
          <w:bCs w:val="0"/>
          <w:spacing w:val="1"/>
        </w:rPr>
        <w:t xml:space="preserve"> </w:t>
      </w:r>
      <w:r w:rsidRPr="00B74327">
        <w:rPr>
          <w:b w:val="0"/>
          <w:bCs w:val="0"/>
        </w:rPr>
        <w:t>access</w:t>
      </w:r>
      <w:r w:rsidRPr="00B74327">
        <w:rPr>
          <w:b w:val="0"/>
          <w:bCs w:val="0"/>
          <w:spacing w:val="-51"/>
        </w:rPr>
        <w:t xml:space="preserve"> </w:t>
      </w:r>
      <w:r w:rsidRPr="00B74327">
        <w:rPr>
          <w:b w:val="0"/>
          <w:bCs w:val="0"/>
        </w:rPr>
        <w:t>charges</w:t>
      </w:r>
      <w:r w:rsidRPr="00B74327">
        <w:rPr>
          <w:b w:val="0"/>
          <w:bCs w:val="0"/>
          <w:spacing w:val="-2"/>
        </w:rPr>
        <w:t xml:space="preserve"> </w:t>
      </w:r>
      <w:r w:rsidRPr="00B74327">
        <w:rPr>
          <w:b w:val="0"/>
          <w:bCs w:val="0"/>
        </w:rPr>
        <w:t>order</w:t>
      </w:r>
      <w:r w:rsidR="00D74379">
        <w:rPr>
          <w:b w:val="0"/>
          <w:bCs w:val="0"/>
        </w:rPr>
        <w:t>.</w:t>
      </w:r>
    </w:p>
    <w:p w14:paraId="6B30EA49" w14:textId="48FFDB60" w:rsidR="00171CCB" w:rsidRDefault="00171CCB" w:rsidP="00171CCB">
      <w:pPr>
        <w:pStyle w:val="BodyText"/>
        <w:spacing w:before="241" w:line="360" w:lineRule="auto"/>
        <w:ind w:left="940" w:right="142"/>
        <w:jc w:val="both"/>
      </w:pPr>
      <w:r>
        <w:t xml:space="preserve">Pursuance </w:t>
      </w:r>
      <w:proofErr w:type="gramStart"/>
      <w:r>
        <w:t>to</w:t>
      </w:r>
      <w:proofErr w:type="gramEnd"/>
      <w:r>
        <w:t xml:space="preserve"> amended open access</w:t>
      </w:r>
      <w:r>
        <w:rPr>
          <w:spacing w:val="52"/>
        </w:rPr>
        <w:t xml:space="preserve"> </w:t>
      </w:r>
      <w:r>
        <w:t>regulation 2020, SLDC has made certain SOP</w:t>
      </w:r>
      <w:r>
        <w:rPr>
          <w:spacing w:val="1"/>
        </w:rPr>
        <w:t xml:space="preserve"> </w:t>
      </w:r>
      <w:r>
        <w:t>and shared</w:t>
      </w:r>
      <w:r>
        <w:rPr>
          <w:spacing w:val="1"/>
        </w:rPr>
        <w:t xml:space="preserve"> </w:t>
      </w:r>
      <w:r>
        <w:t>with Hon’ble Commission for approval. In response to that</w:t>
      </w:r>
      <w:r>
        <w:rPr>
          <w:spacing w:val="52"/>
        </w:rPr>
        <w:t xml:space="preserve"> </w:t>
      </w:r>
      <w:r>
        <w:t>TPWODL</w:t>
      </w:r>
      <w:r>
        <w:rPr>
          <w:spacing w:val="1"/>
        </w:rPr>
        <w:t xml:space="preserve"> </w:t>
      </w:r>
      <w:r>
        <w:t xml:space="preserve">also suggested certain </w:t>
      </w:r>
      <w:proofErr w:type="gramStart"/>
      <w:r>
        <w:t>modification</w:t>
      </w:r>
      <w:proofErr w:type="gramEnd"/>
      <w:r>
        <w:t xml:space="preserve"> in the SOP as well as</w:t>
      </w:r>
      <w:r>
        <w:rPr>
          <w:spacing w:val="1"/>
        </w:rPr>
        <w:t xml:space="preserve"> </w:t>
      </w:r>
      <w:r>
        <w:t>amend</w:t>
      </w:r>
      <w:r w:rsidR="001F7505">
        <w:t xml:space="preserve">ment </w:t>
      </w:r>
      <w:r>
        <w:t>required</w:t>
      </w:r>
      <w:r>
        <w:rPr>
          <w:spacing w:val="1"/>
        </w:rPr>
        <w:t xml:space="preserve"> </w:t>
      </w:r>
      <w:r>
        <w:t>in</w:t>
      </w:r>
      <w:r>
        <w:rPr>
          <w:spacing w:val="1"/>
        </w:rPr>
        <w:t xml:space="preserve"> </w:t>
      </w:r>
      <w:r>
        <w:t>the</w:t>
      </w:r>
      <w:r>
        <w:rPr>
          <w:spacing w:val="1"/>
        </w:rPr>
        <w:t xml:space="preserve"> </w:t>
      </w:r>
      <w:r>
        <w:t>regulation.</w:t>
      </w:r>
      <w:r>
        <w:rPr>
          <w:spacing w:val="1"/>
        </w:rPr>
        <w:t xml:space="preserve"> </w:t>
      </w:r>
      <w:r>
        <w:t>The</w:t>
      </w:r>
      <w:r>
        <w:rPr>
          <w:spacing w:val="1"/>
        </w:rPr>
        <w:t xml:space="preserve"> </w:t>
      </w:r>
      <w:r>
        <w:t>suggestions</w:t>
      </w:r>
      <w:r>
        <w:rPr>
          <w:spacing w:val="1"/>
        </w:rPr>
        <w:t xml:space="preserve"> </w:t>
      </w:r>
      <w:r>
        <w:t>submitted</w:t>
      </w:r>
      <w:r>
        <w:rPr>
          <w:spacing w:val="1"/>
        </w:rPr>
        <w:t xml:space="preserve"> </w:t>
      </w:r>
      <w:r>
        <w:t>by</w:t>
      </w:r>
      <w:r>
        <w:rPr>
          <w:spacing w:val="1"/>
        </w:rPr>
        <w:t xml:space="preserve"> </w:t>
      </w:r>
      <w:r>
        <w:t>licensee</w:t>
      </w:r>
      <w:r>
        <w:rPr>
          <w:spacing w:val="1"/>
        </w:rPr>
        <w:t xml:space="preserve"> </w:t>
      </w:r>
      <w:r>
        <w:t>are</w:t>
      </w:r>
      <w:r>
        <w:rPr>
          <w:spacing w:val="-50"/>
        </w:rPr>
        <w:t xml:space="preserve"> </w:t>
      </w:r>
      <w:r w:rsidR="005035C8">
        <w:rPr>
          <w:spacing w:val="-50"/>
        </w:rPr>
        <w:t xml:space="preserve">                            </w:t>
      </w:r>
      <w:r>
        <w:t>appended</w:t>
      </w:r>
      <w:r>
        <w:rPr>
          <w:spacing w:val="1"/>
        </w:rPr>
        <w:t xml:space="preserve"> </w:t>
      </w:r>
      <w:r>
        <w:t>below</w:t>
      </w:r>
      <w:r>
        <w:rPr>
          <w:spacing w:val="-1"/>
        </w:rPr>
        <w:t xml:space="preserve"> </w:t>
      </w:r>
      <w:r>
        <w:t>which</w:t>
      </w:r>
      <w:r>
        <w:rPr>
          <w:spacing w:val="-1"/>
        </w:rPr>
        <w:t xml:space="preserve"> </w:t>
      </w:r>
      <w:r>
        <w:t>may</w:t>
      </w:r>
      <w:r>
        <w:rPr>
          <w:spacing w:val="-2"/>
        </w:rPr>
        <w:t xml:space="preserve"> </w:t>
      </w:r>
      <w:r>
        <w:t>kindly</w:t>
      </w:r>
      <w:r>
        <w:rPr>
          <w:spacing w:val="-2"/>
        </w:rPr>
        <w:t xml:space="preserve"> </w:t>
      </w:r>
      <w:r>
        <w:t>be considered.</w:t>
      </w:r>
    </w:p>
    <w:p w14:paraId="247A2AE6" w14:textId="10711368" w:rsidR="00171CCB" w:rsidRPr="00171CCB" w:rsidRDefault="00B74327" w:rsidP="00B74327">
      <w:pPr>
        <w:pStyle w:val="ListParagraph"/>
        <w:numPr>
          <w:ilvl w:val="0"/>
          <w:numId w:val="8"/>
        </w:numPr>
        <w:tabs>
          <w:tab w:val="left" w:pos="1063"/>
        </w:tabs>
        <w:spacing w:before="122"/>
        <w:ind w:left="1418"/>
        <w:jc w:val="both"/>
        <w:rPr>
          <w:rFonts w:ascii="Arial"/>
          <w:b/>
          <w:sz w:val="18"/>
        </w:rPr>
      </w:pPr>
      <w:r w:rsidRPr="00B74327">
        <w:rPr>
          <w:b/>
          <w:sz w:val="24"/>
        </w:rPr>
        <w:t xml:space="preserve"> </w:t>
      </w:r>
      <w:r w:rsidR="00171CCB" w:rsidRPr="00171CCB">
        <w:rPr>
          <w:b/>
          <w:sz w:val="24"/>
          <w:u w:val="single"/>
        </w:rPr>
        <w:t>Processing</w:t>
      </w:r>
      <w:r w:rsidR="00171CCB" w:rsidRPr="00171CCB">
        <w:rPr>
          <w:b/>
          <w:spacing w:val="-5"/>
          <w:sz w:val="24"/>
          <w:u w:val="single"/>
        </w:rPr>
        <w:t xml:space="preserve"> </w:t>
      </w:r>
      <w:r w:rsidR="00171CCB" w:rsidRPr="00171CCB">
        <w:rPr>
          <w:b/>
          <w:sz w:val="24"/>
          <w:u w:val="single"/>
        </w:rPr>
        <w:t>&amp;</w:t>
      </w:r>
      <w:r w:rsidR="00171CCB" w:rsidRPr="00171CCB">
        <w:rPr>
          <w:b/>
          <w:spacing w:val="-4"/>
          <w:sz w:val="24"/>
          <w:u w:val="single"/>
        </w:rPr>
        <w:t xml:space="preserve"> </w:t>
      </w:r>
      <w:r w:rsidR="00171CCB" w:rsidRPr="00171CCB">
        <w:rPr>
          <w:b/>
          <w:sz w:val="24"/>
          <w:u w:val="single"/>
        </w:rPr>
        <w:t>Approval</w:t>
      </w:r>
      <w:r w:rsidR="00171CCB" w:rsidRPr="00171CCB">
        <w:rPr>
          <w:b/>
          <w:spacing w:val="-5"/>
          <w:sz w:val="24"/>
          <w:u w:val="single"/>
        </w:rPr>
        <w:t xml:space="preserve"> </w:t>
      </w:r>
      <w:r w:rsidR="00171CCB" w:rsidRPr="00171CCB">
        <w:rPr>
          <w:b/>
          <w:sz w:val="24"/>
          <w:u w:val="single"/>
        </w:rPr>
        <w:t>of</w:t>
      </w:r>
      <w:r w:rsidR="00171CCB" w:rsidRPr="00171CCB">
        <w:rPr>
          <w:b/>
          <w:spacing w:val="-6"/>
          <w:sz w:val="24"/>
          <w:u w:val="single"/>
        </w:rPr>
        <w:t xml:space="preserve"> </w:t>
      </w:r>
      <w:r w:rsidR="00171CCB" w:rsidRPr="00171CCB">
        <w:rPr>
          <w:b/>
          <w:sz w:val="24"/>
          <w:u w:val="single"/>
        </w:rPr>
        <w:t>application</w:t>
      </w:r>
    </w:p>
    <w:p w14:paraId="2AE66AE2" w14:textId="77777777" w:rsidR="00171CCB" w:rsidRDefault="00171CCB" w:rsidP="00B74327">
      <w:pPr>
        <w:pStyle w:val="BodyText"/>
        <w:spacing w:before="8"/>
        <w:ind w:left="1418"/>
        <w:rPr>
          <w:b/>
          <w:sz w:val="21"/>
        </w:rPr>
      </w:pPr>
    </w:p>
    <w:p w14:paraId="649F3571" w14:textId="7E39698E" w:rsidR="00171CCB" w:rsidRDefault="00171CCB" w:rsidP="00B74327">
      <w:pPr>
        <w:pStyle w:val="BodyText"/>
        <w:spacing w:before="1" w:line="360" w:lineRule="auto"/>
        <w:ind w:left="1418" w:right="142"/>
        <w:jc w:val="both"/>
      </w:pPr>
      <w:r>
        <w:t>As per extant Regulation of 6th June 2005, the nodal</w:t>
      </w:r>
      <w:r>
        <w:rPr>
          <w:spacing w:val="52"/>
        </w:rPr>
        <w:t xml:space="preserve"> </w:t>
      </w:r>
      <w:r>
        <w:t>agency for arranging Long-</w:t>
      </w:r>
      <w:r>
        <w:rPr>
          <w:spacing w:val="1"/>
        </w:rPr>
        <w:t xml:space="preserve"> </w:t>
      </w:r>
      <w:r>
        <w:t>term</w:t>
      </w:r>
      <w:r>
        <w:rPr>
          <w:spacing w:val="1"/>
        </w:rPr>
        <w:t xml:space="preserve"> </w:t>
      </w:r>
      <w:r>
        <w:t>open</w:t>
      </w:r>
      <w:r>
        <w:rPr>
          <w:spacing w:val="1"/>
        </w:rPr>
        <w:t xml:space="preserve"> </w:t>
      </w:r>
      <w:r>
        <w:t>access</w:t>
      </w:r>
      <w:r>
        <w:rPr>
          <w:spacing w:val="1"/>
        </w:rPr>
        <w:t xml:space="preserve"> </w:t>
      </w:r>
      <w:r>
        <w:t>(LTOA)</w:t>
      </w:r>
      <w:r>
        <w:rPr>
          <w:spacing w:val="1"/>
        </w:rPr>
        <w:t xml:space="preserve"> </w:t>
      </w:r>
      <w:r>
        <w:t>shall</w:t>
      </w:r>
      <w:r>
        <w:rPr>
          <w:spacing w:val="1"/>
        </w:rPr>
        <w:t xml:space="preserve"> </w:t>
      </w:r>
      <w:r>
        <w:t>be</w:t>
      </w:r>
      <w:r>
        <w:rPr>
          <w:spacing w:val="1"/>
        </w:rPr>
        <w:t xml:space="preserve"> </w:t>
      </w:r>
      <w:r>
        <w:t>the</w:t>
      </w:r>
      <w:r>
        <w:rPr>
          <w:spacing w:val="1"/>
        </w:rPr>
        <w:t xml:space="preserve"> </w:t>
      </w:r>
      <w:r>
        <w:t>STU</w:t>
      </w:r>
      <w:r>
        <w:rPr>
          <w:spacing w:val="1"/>
        </w:rPr>
        <w:t xml:space="preserve"> </w:t>
      </w:r>
      <w:r>
        <w:t>if</w:t>
      </w:r>
      <w:r>
        <w:rPr>
          <w:spacing w:val="1"/>
        </w:rPr>
        <w:t xml:space="preserve"> </w:t>
      </w:r>
      <w:r>
        <w:t>the</w:t>
      </w:r>
      <w:r>
        <w:rPr>
          <w:spacing w:val="1"/>
        </w:rPr>
        <w:t xml:space="preserve"> </w:t>
      </w:r>
      <w:r>
        <w:t>transmission</w:t>
      </w:r>
      <w:r>
        <w:rPr>
          <w:spacing w:val="1"/>
        </w:rPr>
        <w:t xml:space="preserve"> </w:t>
      </w:r>
      <w:r>
        <w:t>system</w:t>
      </w:r>
      <w:r>
        <w:rPr>
          <w:spacing w:val="1"/>
        </w:rPr>
        <w:t xml:space="preserve"> </w:t>
      </w:r>
      <w:r>
        <w:t>is</w:t>
      </w:r>
      <w:r>
        <w:rPr>
          <w:spacing w:val="1"/>
        </w:rPr>
        <w:t xml:space="preserve"> </w:t>
      </w:r>
      <w:r>
        <w:t>used,</w:t>
      </w:r>
      <w:r>
        <w:rPr>
          <w:spacing w:val="1"/>
        </w:rPr>
        <w:t xml:space="preserve"> </w:t>
      </w:r>
      <w:r>
        <w:t>otherwise</w:t>
      </w:r>
      <w:r>
        <w:rPr>
          <w:spacing w:val="1"/>
        </w:rPr>
        <w:t xml:space="preserve"> </w:t>
      </w:r>
      <w:r>
        <w:t>the</w:t>
      </w:r>
      <w:r>
        <w:rPr>
          <w:spacing w:val="1"/>
        </w:rPr>
        <w:t xml:space="preserve"> </w:t>
      </w:r>
      <w:r>
        <w:t>nodal</w:t>
      </w:r>
      <w:r>
        <w:rPr>
          <w:spacing w:val="1"/>
        </w:rPr>
        <w:t xml:space="preserve"> </w:t>
      </w:r>
      <w:r>
        <w:t>agency</w:t>
      </w:r>
      <w:r>
        <w:rPr>
          <w:spacing w:val="1"/>
        </w:rPr>
        <w:t xml:space="preserve"> </w:t>
      </w:r>
      <w:r>
        <w:t>shall</w:t>
      </w:r>
      <w:r>
        <w:rPr>
          <w:spacing w:val="1"/>
        </w:rPr>
        <w:t xml:space="preserve"> </w:t>
      </w:r>
      <w:r>
        <w:t>be</w:t>
      </w:r>
      <w:r>
        <w:rPr>
          <w:spacing w:val="1"/>
        </w:rPr>
        <w:t xml:space="preserve"> </w:t>
      </w:r>
      <w:r>
        <w:t>the</w:t>
      </w:r>
      <w:r>
        <w:rPr>
          <w:spacing w:val="1"/>
        </w:rPr>
        <w:t xml:space="preserve"> </w:t>
      </w:r>
      <w:r>
        <w:t>respective</w:t>
      </w:r>
      <w:r>
        <w:rPr>
          <w:spacing w:val="1"/>
        </w:rPr>
        <w:t xml:space="preserve"> </w:t>
      </w:r>
      <w:r>
        <w:t>distribution</w:t>
      </w:r>
      <w:r>
        <w:rPr>
          <w:spacing w:val="1"/>
        </w:rPr>
        <w:t xml:space="preserve"> </w:t>
      </w:r>
      <w:r>
        <w:t>Licensee</w:t>
      </w:r>
      <w:r>
        <w:rPr>
          <w:spacing w:val="1"/>
        </w:rPr>
        <w:t xml:space="preserve"> </w:t>
      </w:r>
      <w:r>
        <w:t>within</w:t>
      </w:r>
      <w:r>
        <w:rPr>
          <w:spacing w:val="-50"/>
        </w:rPr>
        <w:t xml:space="preserve"> </w:t>
      </w:r>
      <w:r>
        <w:t>whose</w:t>
      </w:r>
      <w:r>
        <w:rPr>
          <w:spacing w:val="-1"/>
        </w:rPr>
        <w:t xml:space="preserve"> </w:t>
      </w:r>
      <w:r>
        <w:t>area</w:t>
      </w:r>
      <w:r>
        <w:rPr>
          <w:spacing w:val="1"/>
        </w:rPr>
        <w:t xml:space="preserve"> </w:t>
      </w:r>
      <w:r>
        <w:t>and/or</w:t>
      </w:r>
      <w:r>
        <w:rPr>
          <w:spacing w:val="-3"/>
        </w:rPr>
        <w:t xml:space="preserve"> </w:t>
      </w:r>
      <w:r>
        <w:t>the</w:t>
      </w:r>
      <w:r>
        <w:rPr>
          <w:spacing w:val="-1"/>
        </w:rPr>
        <w:t xml:space="preserve"> </w:t>
      </w:r>
      <w:r>
        <w:t>network</w:t>
      </w:r>
      <w:r>
        <w:rPr>
          <w:spacing w:val="-2"/>
        </w:rPr>
        <w:t xml:space="preserve"> </w:t>
      </w:r>
      <w:r>
        <w:t>the</w:t>
      </w:r>
      <w:r>
        <w:rPr>
          <w:spacing w:val="-2"/>
        </w:rPr>
        <w:t xml:space="preserve"> </w:t>
      </w:r>
      <w:r>
        <w:t>point</w:t>
      </w:r>
      <w:r>
        <w:rPr>
          <w:spacing w:val="3"/>
        </w:rPr>
        <w:t xml:space="preserve"> </w:t>
      </w:r>
      <w:r>
        <w:t>of</w:t>
      </w:r>
      <w:r>
        <w:rPr>
          <w:spacing w:val="-1"/>
        </w:rPr>
        <w:t xml:space="preserve"> </w:t>
      </w:r>
      <w:r>
        <w:t>drawl</w:t>
      </w:r>
      <w:r>
        <w:rPr>
          <w:spacing w:val="-2"/>
        </w:rPr>
        <w:t xml:space="preserve"> </w:t>
      </w:r>
      <w:r>
        <w:t>is situated.</w:t>
      </w:r>
    </w:p>
    <w:p w14:paraId="643B8CC4" w14:textId="77777777" w:rsidR="00171CCB" w:rsidRDefault="00171CCB" w:rsidP="00B74327">
      <w:pPr>
        <w:pStyle w:val="BodyText"/>
        <w:spacing w:before="1" w:line="360" w:lineRule="auto"/>
        <w:ind w:left="1418" w:right="142"/>
        <w:jc w:val="both"/>
      </w:pPr>
      <w:r>
        <w:t xml:space="preserve">Now, there is no such clause/para in the draft Regulations and there is no provision in the SOP to include the LTOA customers which are connected </w:t>
      </w:r>
      <w:proofErr w:type="gramStart"/>
      <w:r>
        <w:t>in Distribution</w:t>
      </w:r>
      <w:proofErr w:type="gramEnd"/>
      <w:r>
        <w:t xml:space="preserve"> system. However, SLDC has suggested that generating station seeking open access in short term needs to apply to DISCOMs directly with appropriate fee and DISCOM shall be responsible for facilitating such short-term open access. Presently, in TPWODL licensee area there are 11 LTOA customers who are drawing/conveying power under LTOA arrangement.</w:t>
      </w:r>
    </w:p>
    <w:p w14:paraId="68EDF585" w14:textId="5FFCFEDC" w:rsidR="00171CCB" w:rsidRDefault="00171CCB" w:rsidP="00B74327">
      <w:pPr>
        <w:pStyle w:val="BodyText"/>
        <w:spacing w:before="1" w:line="360" w:lineRule="auto"/>
        <w:ind w:left="1418" w:right="142"/>
        <w:jc w:val="both"/>
      </w:pPr>
      <w:r>
        <w:t xml:space="preserve">In view of the above, TPWODL suggests </w:t>
      </w:r>
      <w:proofErr w:type="gramStart"/>
      <w:r>
        <w:t>to include</w:t>
      </w:r>
      <w:proofErr w:type="gramEnd"/>
      <w:r>
        <w:t xml:space="preserve"> such LTOA &amp; STOA customers under the proposed mechanism, which is an accepted industry practice with a legacy of over 15 years, and surely augurs well for remaining customer base of TPWODL consumers due to the softening impact it would potentially bring on ARR due to proceeds coming from LTOA and STOA Customers. Accordingly, it is requested that the </w:t>
      </w:r>
      <w:r>
        <w:lastRenderedPageBreak/>
        <w:t>appropriate provisions may please be restored in the new Regulations as well as in the SOP, in the larger public interest.</w:t>
      </w:r>
    </w:p>
    <w:p w14:paraId="5A411D04" w14:textId="77777777" w:rsidR="00171CCB" w:rsidRDefault="00171CCB" w:rsidP="00B74327">
      <w:pPr>
        <w:pStyle w:val="ListParagraph"/>
        <w:numPr>
          <w:ilvl w:val="0"/>
          <w:numId w:val="8"/>
        </w:numPr>
        <w:tabs>
          <w:tab w:val="left" w:pos="1063"/>
        </w:tabs>
        <w:spacing w:before="122"/>
        <w:ind w:left="1418"/>
        <w:jc w:val="both"/>
        <w:rPr>
          <w:rFonts w:ascii="Arial"/>
          <w:b/>
          <w:sz w:val="18"/>
        </w:rPr>
      </w:pPr>
      <w:r>
        <w:rPr>
          <w:b/>
          <w:sz w:val="24"/>
          <w:u w:val="single"/>
        </w:rPr>
        <w:t>Open</w:t>
      </w:r>
      <w:r>
        <w:rPr>
          <w:b/>
          <w:spacing w:val="-4"/>
          <w:sz w:val="24"/>
          <w:u w:val="single"/>
        </w:rPr>
        <w:t xml:space="preserve"> </w:t>
      </w:r>
      <w:r>
        <w:rPr>
          <w:b/>
          <w:sz w:val="24"/>
          <w:u w:val="single"/>
        </w:rPr>
        <w:t>Access</w:t>
      </w:r>
      <w:r>
        <w:rPr>
          <w:b/>
          <w:spacing w:val="-2"/>
          <w:sz w:val="24"/>
          <w:u w:val="single"/>
        </w:rPr>
        <w:t xml:space="preserve"> </w:t>
      </w:r>
      <w:r>
        <w:rPr>
          <w:b/>
          <w:sz w:val="24"/>
          <w:u w:val="single"/>
        </w:rPr>
        <w:t>Charges</w:t>
      </w:r>
    </w:p>
    <w:p w14:paraId="00B53980" w14:textId="77777777" w:rsidR="00171CCB" w:rsidRDefault="00171CCB" w:rsidP="00B74327">
      <w:pPr>
        <w:pStyle w:val="BodyText"/>
        <w:spacing w:before="8"/>
        <w:ind w:left="1418"/>
        <w:rPr>
          <w:b/>
          <w:sz w:val="21"/>
        </w:rPr>
      </w:pPr>
    </w:p>
    <w:p w14:paraId="436B8F8F" w14:textId="77777777" w:rsidR="00171CCB" w:rsidRDefault="00171CCB" w:rsidP="008468BF">
      <w:pPr>
        <w:pStyle w:val="BodyText"/>
        <w:spacing w:before="1" w:line="360" w:lineRule="auto"/>
        <w:ind w:left="1418" w:right="142"/>
        <w:jc w:val="both"/>
      </w:pPr>
      <w:r>
        <w:t>In</w:t>
      </w:r>
      <w:r w:rsidRPr="008468BF">
        <w:t xml:space="preserve"> </w:t>
      </w:r>
      <w:r>
        <w:t>the</w:t>
      </w:r>
      <w:r w:rsidRPr="008468BF">
        <w:t xml:space="preserve"> </w:t>
      </w:r>
      <w:r>
        <w:t>new</w:t>
      </w:r>
      <w:r w:rsidRPr="008468BF">
        <w:t xml:space="preserve"> </w:t>
      </w:r>
      <w:r>
        <w:t>Regulations</w:t>
      </w:r>
      <w:r w:rsidRPr="008468BF">
        <w:t xml:space="preserve"> </w:t>
      </w:r>
      <w:r>
        <w:t>(</w:t>
      </w:r>
      <w:proofErr w:type="gramStart"/>
      <w:r>
        <w:t>chapter-5</w:t>
      </w:r>
      <w:proofErr w:type="gramEnd"/>
      <w:r>
        <w:t>)</w:t>
      </w:r>
      <w:r w:rsidRPr="008468BF">
        <w:t xml:space="preserve"> </w:t>
      </w:r>
      <w:r>
        <w:t>para</w:t>
      </w:r>
      <w:r w:rsidRPr="008468BF">
        <w:t xml:space="preserve"> </w:t>
      </w:r>
      <w:r>
        <w:t>“22”</w:t>
      </w:r>
      <w:r w:rsidRPr="008468BF">
        <w:t xml:space="preserve"> </w:t>
      </w:r>
      <w:r>
        <w:t>describes</w:t>
      </w:r>
      <w:r w:rsidRPr="008468BF">
        <w:t xml:space="preserve"> </w:t>
      </w:r>
      <w:r>
        <w:t>wheeling</w:t>
      </w:r>
      <w:r w:rsidRPr="008468BF">
        <w:t xml:space="preserve"> </w:t>
      </w:r>
      <w:r>
        <w:t>Charges</w:t>
      </w:r>
      <w:r w:rsidRPr="008468BF">
        <w:t xml:space="preserve"> </w:t>
      </w:r>
      <w:r>
        <w:t>where</w:t>
      </w:r>
      <w:r w:rsidRPr="008468BF">
        <w:t xml:space="preserve"> </w:t>
      </w:r>
      <w:r>
        <w:t>in</w:t>
      </w:r>
      <w:r w:rsidRPr="008468BF">
        <w:t xml:space="preserve"> </w:t>
      </w:r>
      <w:r>
        <w:t>the</w:t>
      </w:r>
      <w:r w:rsidRPr="008468BF">
        <w:t xml:space="preserve"> </w:t>
      </w:r>
      <w:r>
        <w:t>following</w:t>
      </w:r>
      <w:r w:rsidRPr="008468BF">
        <w:t xml:space="preserve"> </w:t>
      </w:r>
      <w:r>
        <w:t>clause</w:t>
      </w:r>
      <w:r w:rsidRPr="008468BF">
        <w:t xml:space="preserve"> </w:t>
      </w:r>
      <w:r>
        <w:t>has been</w:t>
      </w:r>
      <w:r w:rsidRPr="008468BF">
        <w:t xml:space="preserve"> </w:t>
      </w:r>
      <w:r>
        <w:t>incorporated.</w:t>
      </w:r>
    </w:p>
    <w:p w14:paraId="187D46A0" w14:textId="7E3BF12E" w:rsidR="00171CCB" w:rsidRPr="0093392C" w:rsidRDefault="00171CCB" w:rsidP="008468BF">
      <w:pPr>
        <w:pStyle w:val="BodyText"/>
        <w:spacing w:before="1" w:line="360" w:lineRule="auto"/>
        <w:ind w:left="1418" w:right="142"/>
        <w:jc w:val="both"/>
        <w:rPr>
          <w:i/>
          <w:iCs/>
        </w:rPr>
      </w:pPr>
      <w:r w:rsidRPr="0093392C">
        <w:rPr>
          <w:i/>
          <w:iCs/>
        </w:rPr>
        <w:t xml:space="preserve">“Provided further that Wheeling Charges shall not be applicable in case dedicated lines (as defined under Section 2(16) of Electricity Act 2003) </w:t>
      </w:r>
      <w:r w:rsidR="00EA400D" w:rsidRPr="0093392C">
        <w:rPr>
          <w:i/>
          <w:iCs/>
        </w:rPr>
        <w:t>constructed by</w:t>
      </w:r>
      <w:r w:rsidRPr="0093392C">
        <w:rPr>
          <w:i/>
          <w:iCs/>
        </w:rPr>
        <w:t xml:space="preserve"> generator are being utilized for supply to the open access customer.”</w:t>
      </w:r>
    </w:p>
    <w:p w14:paraId="5BD261BC" w14:textId="77777777" w:rsidR="00171CCB" w:rsidRDefault="00171CCB" w:rsidP="008468BF">
      <w:pPr>
        <w:pStyle w:val="BodyText"/>
        <w:spacing w:before="1" w:line="360" w:lineRule="auto"/>
        <w:ind w:left="1418" w:right="142"/>
        <w:jc w:val="both"/>
      </w:pPr>
      <w:r>
        <w:t>TPWODL</w:t>
      </w:r>
      <w:r w:rsidRPr="008468BF">
        <w:t xml:space="preserve"> </w:t>
      </w:r>
      <w:r>
        <w:t>request</w:t>
      </w:r>
      <w:r w:rsidRPr="008468BF">
        <w:t xml:space="preserve"> </w:t>
      </w:r>
      <w:r>
        <w:t>Hon’ble</w:t>
      </w:r>
      <w:r w:rsidRPr="008468BF">
        <w:t xml:space="preserve"> </w:t>
      </w:r>
      <w:r>
        <w:t>Commission</w:t>
      </w:r>
      <w:r w:rsidRPr="008468BF">
        <w:t xml:space="preserve"> </w:t>
      </w:r>
      <w:r>
        <w:t>to</w:t>
      </w:r>
      <w:r w:rsidRPr="008468BF">
        <w:t xml:space="preserve"> </w:t>
      </w:r>
      <w:r>
        <w:t>modify</w:t>
      </w:r>
      <w:r w:rsidRPr="008468BF">
        <w:t xml:space="preserve"> </w:t>
      </w:r>
      <w:r>
        <w:t>the</w:t>
      </w:r>
      <w:r w:rsidRPr="008468BF">
        <w:t xml:space="preserve"> </w:t>
      </w:r>
      <w:r>
        <w:t>same</w:t>
      </w:r>
      <w:r w:rsidRPr="008468BF">
        <w:t xml:space="preserve"> </w:t>
      </w:r>
      <w:r>
        <w:t>in</w:t>
      </w:r>
      <w:r w:rsidRPr="008468BF">
        <w:t xml:space="preserve"> </w:t>
      </w:r>
      <w:r>
        <w:t>the</w:t>
      </w:r>
      <w:r w:rsidRPr="008468BF">
        <w:t xml:space="preserve"> </w:t>
      </w:r>
      <w:r>
        <w:t>following</w:t>
      </w:r>
      <w:r w:rsidRPr="008468BF">
        <w:t xml:space="preserve"> </w:t>
      </w:r>
      <w:r>
        <w:t>manner,</w:t>
      </w:r>
    </w:p>
    <w:p w14:paraId="5A68D336" w14:textId="77777777" w:rsidR="00171CCB" w:rsidRPr="0093392C" w:rsidRDefault="00171CCB" w:rsidP="008468BF">
      <w:pPr>
        <w:pStyle w:val="BodyText"/>
        <w:spacing w:before="1" w:line="360" w:lineRule="auto"/>
        <w:ind w:left="1418" w:right="142"/>
        <w:jc w:val="both"/>
        <w:rPr>
          <w:i/>
          <w:iCs/>
        </w:rPr>
      </w:pPr>
      <w:r w:rsidRPr="0093392C">
        <w:rPr>
          <w:i/>
          <w:iCs/>
        </w:rPr>
        <w:t>“Provided further that Wheeling Charges shall not be applicable in case dedicated lines (as defined under Section 2(16) of Electricity Act 2003) constructed by generator (If the generator is not grid connected) are being utilized for supply to</w:t>
      </w:r>
      <w:r w:rsidRPr="0093392C">
        <w:rPr>
          <w:i/>
          <w:iCs/>
          <w:spacing w:val="1"/>
        </w:rPr>
        <w:t xml:space="preserve"> </w:t>
      </w:r>
      <w:r w:rsidRPr="0093392C">
        <w:rPr>
          <w:i/>
          <w:iCs/>
        </w:rPr>
        <w:t>the</w:t>
      </w:r>
      <w:r w:rsidRPr="0093392C">
        <w:rPr>
          <w:i/>
          <w:iCs/>
          <w:spacing w:val="1"/>
        </w:rPr>
        <w:t xml:space="preserve"> </w:t>
      </w:r>
      <w:r w:rsidRPr="0093392C">
        <w:rPr>
          <w:i/>
          <w:iCs/>
        </w:rPr>
        <w:t>open</w:t>
      </w:r>
      <w:r w:rsidRPr="0093392C">
        <w:rPr>
          <w:i/>
          <w:iCs/>
          <w:spacing w:val="1"/>
        </w:rPr>
        <w:t xml:space="preserve"> </w:t>
      </w:r>
      <w:r w:rsidRPr="0093392C">
        <w:rPr>
          <w:i/>
          <w:iCs/>
        </w:rPr>
        <w:t>access</w:t>
      </w:r>
      <w:r w:rsidRPr="0093392C">
        <w:rPr>
          <w:i/>
          <w:iCs/>
          <w:spacing w:val="1"/>
        </w:rPr>
        <w:t xml:space="preserve"> </w:t>
      </w:r>
      <w:r w:rsidRPr="0093392C">
        <w:rPr>
          <w:i/>
          <w:iCs/>
        </w:rPr>
        <w:t>customer.”</w:t>
      </w:r>
    </w:p>
    <w:p w14:paraId="5BE7C2EA" w14:textId="77777777" w:rsidR="00171CCB" w:rsidRDefault="00171CCB" w:rsidP="00B74327">
      <w:pPr>
        <w:pStyle w:val="BodyText"/>
        <w:spacing w:before="5"/>
        <w:ind w:left="1418"/>
        <w:rPr>
          <w:sz w:val="28"/>
        </w:rPr>
      </w:pPr>
    </w:p>
    <w:p w14:paraId="2C83092C" w14:textId="51B07AF9" w:rsidR="00EA400D" w:rsidRDefault="00171CCB" w:rsidP="00B74327">
      <w:pPr>
        <w:pStyle w:val="BodyText"/>
        <w:spacing w:line="360" w:lineRule="auto"/>
        <w:ind w:left="1418" w:right="150"/>
        <w:jc w:val="both"/>
      </w:pPr>
      <w:r>
        <w:t xml:space="preserve">It </w:t>
      </w:r>
      <w:proofErr w:type="gramStart"/>
      <w:r>
        <w:t>may be please be</w:t>
      </w:r>
      <w:proofErr w:type="gramEnd"/>
      <w:r>
        <w:t xml:space="preserve"> noted that in all circumstances, other than where network of Open</w:t>
      </w:r>
      <w:r>
        <w:rPr>
          <w:spacing w:val="1"/>
        </w:rPr>
        <w:t xml:space="preserve"> </w:t>
      </w:r>
      <w:r>
        <w:t>Access</w:t>
      </w:r>
      <w:r>
        <w:rPr>
          <w:spacing w:val="43"/>
        </w:rPr>
        <w:t xml:space="preserve"> </w:t>
      </w:r>
      <w:r>
        <w:t>customer</w:t>
      </w:r>
      <w:r>
        <w:rPr>
          <w:spacing w:val="42"/>
        </w:rPr>
        <w:t xml:space="preserve"> </w:t>
      </w:r>
      <w:r>
        <w:t>is</w:t>
      </w:r>
      <w:r>
        <w:rPr>
          <w:spacing w:val="45"/>
        </w:rPr>
        <w:t xml:space="preserve"> </w:t>
      </w:r>
      <w:r>
        <w:t>directly</w:t>
      </w:r>
      <w:r>
        <w:rPr>
          <w:spacing w:val="43"/>
        </w:rPr>
        <w:t xml:space="preserve"> </w:t>
      </w:r>
      <w:r>
        <w:t>connected</w:t>
      </w:r>
      <w:r>
        <w:rPr>
          <w:spacing w:val="46"/>
        </w:rPr>
        <w:t xml:space="preserve"> </w:t>
      </w:r>
      <w:r>
        <w:t>with</w:t>
      </w:r>
      <w:r>
        <w:rPr>
          <w:spacing w:val="43"/>
        </w:rPr>
        <w:t xml:space="preserve"> </w:t>
      </w:r>
      <w:r>
        <w:t>the</w:t>
      </w:r>
      <w:r>
        <w:rPr>
          <w:spacing w:val="43"/>
        </w:rPr>
        <w:t xml:space="preserve"> </w:t>
      </w:r>
      <w:r>
        <w:t>Generator,</w:t>
      </w:r>
      <w:r>
        <w:rPr>
          <w:spacing w:val="45"/>
        </w:rPr>
        <w:t xml:space="preserve"> </w:t>
      </w:r>
      <w:r>
        <w:t>the</w:t>
      </w:r>
      <w:r>
        <w:rPr>
          <w:spacing w:val="43"/>
        </w:rPr>
        <w:t xml:space="preserve"> </w:t>
      </w:r>
      <w:r>
        <w:t>last</w:t>
      </w:r>
      <w:r>
        <w:rPr>
          <w:spacing w:val="44"/>
        </w:rPr>
        <w:t xml:space="preserve"> </w:t>
      </w:r>
      <w:r>
        <w:t>mile</w:t>
      </w:r>
      <w:r>
        <w:rPr>
          <w:spacing w:val="43"/>
        </w:rPr>
        <w:t xml:space="preserve"> </w:t>
      </w:r>
      <w:r>
        <w:t>network</w:t>
      </w:r>
      <w:r>
        <w:rPr>
          <w:spacing w:val="43"/>
        </w:rPr>
        <w:t xml:space="preserve"> </w:t>
      </w:r>
      <w:r>
        <w:t>of</w:t>
      </w:r>
      <w:r>
        <w:rPr>
          <w:spacing w:val="42"/>
        </w:rPr>
        <w:t xml:space="preserve"> </w:t>
      </w:r>
      <w:r>
        <w:t>OA</w:t>
      </w:r>
      <w:r w:rsidR="00EA400D">
        <w:t xml:space="preserve"> customer shall be integrated with the larger distribution network, thereby becoming liable to pay wheeling charges to TPWODL.</w:t>
      </w:r>
    </w:p>
    <w:p w14:paraId="39CEE23E" w14:textId="77777777" w:rsidR="00EA400D" w:rsidRDefault="00EA400D" w:rsidP="00B74327">
      <w:pPr>
        <w:pStyle w:val="BodyText"/>
        <w:spacing w:line="360" w:lineRule="auto"/>
        <w:ind w:left="1418" w:right="150"/>
        <w:jc w:val="both"/>
      </w:pPr>
      <w:r>
        <w:t xml:space="preserve">Further, the reasons for above suggestion are as </w:t>
      </w:r>
      <w:proofErr w:type="gramStart"/>
      <w:r>
        <w:t>follows:-</w:t>
      </w:r>
      <w:proofErr w:type="gramEnd"/>
    </w:p>
    <w:p w14:paraId="7715667E" w14:textId="68D2F625" w:rsidR="00EA400D" w:rsidRDefault="00EA400D" w:rsidP="00B74327">
      <w:pPr>
        <w:pStyle w:val="BodyText"/>
        <w:numPr>
          <w:ilvl w:val="0"/>
          <w:numId w:val="9"/>
        </w:numPr>
        <w:spacing w:line="360" w:lineRule="auto"/>
        <w:ind w:left="1418" w:right="150"/>
        <w:jc w:val="both"/>
      </w:pPr>
      <w:r>
        <w:t xml:space="preserve">When the generator fails or in case of low generation then power supply will flow to the load </w:t>
      </w:r>
      <w:proofErr w:type="spellStart"/>
      <w:r>
        <w:t>centre</w:t>
      </w:r>
      <w:proofErr w:type="spellEnd"/>
      <w:r>
        <w:t xml:space="preserve"> from transmission/ distribution system in case of grid connected generators.</w:t>
      </w:r>
    </w:p>
    <w:p w14:paraId="15F4EAD5" w14:textId="749535B1" w:rsidR="00EA400D" w:rsidRDefault="00EA400D" w:rsidP="00B74327">
      <w:pPr>
        <w:pStyle w:val="BodyText"/>
        <w:numPr>
          <w:ilvl w:val="0"/>
          <w:numId w:val="9"/>
        </w:numPr>
        <w:spacing w:line="360" w:lineRule="auto"/>
        <w:ind w:left="1418" w:right="150"/>
        <w:jc w:val="both"/>
      </w:pPr>
      <w:r>
        <w:t xml:space="preserve">A generator/ consumer can not own a distribution system unless having Distribution Licensee (As per Section 2(19) of Electricity Act 2003). Further, as per </w:t>
      </w:r>
      <w:r w:rsidR="00171377">
        <w:t xml:space="preserve">the </w:t>
      </w:r>
      <w:r>
        <w:t xml:space="preserve">provision of </w:t>
      </w:r>
      <w:r w:rsidR="00171377">
        <w:t xml:space="preserve">the </w:t>
      </w:r>
      <w:r>
        <w:t>Hon’ble Commission’s Regulations, network assets created by a generator/consumer are deemed Distribution assets.</w:t>
      </w:r>
    </w:p>
    <w:p w14:paraId="0467DA8A" w14:textId="1C5D8899" w:rsidR="00EA400D" w:rsidRDefault="00EA400D" w:rsidP="00B74327">
      <w:pPr>
        <w:pStyle w:val="BodyText"/>
        <w:numPr>
          <w:ilvl w:val="0"/>
          <w:numId w:val="9"/>
        </w:numPr>
        <w:spacing w:line="360" w:lineRule="auto"/>
        <w:ind w:left="1418" w:right="150"/>
        <w:jc w:val="both"/>
      </w:pPr>
      <w:r>
        <w:t xml:space="preserve">Hon’ble Commission has already passed orders to the effect that DISCOM is eligible for wheeling charges in case of OCL &amp; OISL vide case no. 139 of 2009 dated 26th Aug 2010 which was subsequently upheld by Hon’ble </w:t>
      </w:r>
      <w:r>
        <w:lastRenderedPageBreak/>
        <w:t>ATE in case no. 171 of 2010 &amp; 187 of 2010 and 137 of 2012.</w:t>
      </w:r>
    </w:p>
    <w:p w14:paraId="1F3797BB" w14:textId="77777777" w:rsidR="00EA400D" w:rsidRDefault="00EA400D" w:rsidP="00B74327">
      <w:pPr>
        <w:pStyle w:val="BodyText"/>
        <w:spacing w:line="360" w:lineRule="auto"/>
        <w:ind w:left="1418" w:right="150"/>
        <w:jc w:val="both"/>
      </w:pPr>
    </w:p>
    <w:p w14:paraId="32C4B23B" w14:textId="32F6A1FB" w:rsidR="00EA400D" w:rsidRDefault="00EA400D" w:rsidP="00B74327">
      <w:pPr>
        <w:pStyle w:val="BodyText"/>
        <w:spacing w:line="360" w:lineRule="auto"/>
        <w:ind w:left="1418" w:right="150"/>
        <w:jc w:val="both"/>
      </w:pPr>
      <w:r>
        <w:t xml:space="preserve">Hon’ble ATE while upholding the decision of </w:t>
      </w:r>
      <w:r w:rsidR="00794AF4">
        <w:t xml:space="preserve">the </w:t>
      </w:r>
      <w:r>
        <w:t xml:space="preserve">Hon’ble Commission has also emphasized on Section 2(76) of Electricity Act 2003 where in “wheeling” means the operation whereby the distribution system and associated facilities on a transmission licensee or distribution licensee, as the case </w:t>
      </w:r>
      <w:proofErr w:type="gramStart"/>
      <w:r>
        <w:t>may be are</w:t>
      </w:r>
      <w:proofErr w:type="gramEnd"/>
      <w:r>
        <w:t xml:space="preserve"> used by another person for conveyance on electricity on payment on charges to be determined under Section-62.</w:t>
      </w:r>
    </w:p>
    <w:p w14:paraId="3EF65E58" w14:textId="77777777" w:rsidR="00EA400D" w:rsidRDefault="00EA400D" w:rsidP="00B74327">
      <w:pPr>
        <w:pStyle w:val="BodyText"/>
        <w:spacing w:line="360" w:lineRule="auto"/>
        <w:ind w:left="1418" w:right="150"/>
        <w:jc w:val="both"/>
      </w:pPr>
    </w:p>
    <w:p w14:paraId="652D70D6" w14:textId="678EEE95" w:rsidR="00171CCB" w:rsidRDefault="00EA400D" w:rsidP="00B74327">
      <w:pPr>
        <w:pStyle w:val="BodyText"/>
        <w:spacing w:line="360" w:lineRule="auto"/>
        <w:ind w:left="1418" w:right="150"/>
        <w:jc w:val="both"/>
      </w:pPr>
      <w:r>
        <w:t xml:space="preserve">Therefore, </w:t>
      </w:r>
      <w:proofErr w:type="gramStart"/>
      <w:r>
        <w:t>Hon’ble</w:t>
      </w:r>
      <w:proofErr w:type="gramEnd"/>
      <w:r>
        <w:t xml:space="preserve"> Commission may kindly </w:t>
      </w:r>
      <w:proofErr w:type="gramStart"/>
      <w:r>
        <w:t>look into</w:t>
      </w:r>
      <w:proofErr w:type="gramEnd"/>
      <w:r>
        <w:t xml:space="preserve"> it for ensuring that there is no contradiction to the above cited provision of the Electricity Act, 2003 and amend /modify the clause suitably, for ensuring harmony.</w:t>
      </w:r>
    </w:p>
    <w:p w14:paraId="7755DF20" w14:textId="77777777" w:rsidR="00EA400D" w:rsidRPr="00EA400D" w:rsidRDefault="00EA400D" w:rsidP="00B74327">
      <w:pPr>
        <w:pStyle w:val="ListParagraph"/>
        <w:numPr>
          <w:ilvl w:val="0"/>
          <w:numId w:val="8"/>
        </w:numPr>
        <w:tabs>
          <w:tab w:val="left" w:pos="1063"/>
        </w:tabs>
        <w:spacing w:before="122"/>
        <w:ind w:left="1418"/>
        <w:jc w:val="both"/>
        <w:rPr>
          <w:b/>
          <w:sz w:val="20"/>
        </w:rPr>
      </w:pPr>
      <w:r w:rsidRPr="00EA400D">
        <w:rPr>
          <w:b/>
          <w:sz w:val="24"/>
          <w:szCs w:val="28"/>
          <w:u w:val="thick"/>
        </w:rPr>
        <w:t>Surcharge</w:t>
      </w:r>
      <w:r w:rsidRPr="00EA400D">
        <w:rPr>
          <w:b/>
          <w:spacing w:val="-2"/>
          <w:sz w:val="24"/>
          <w:szCs w:val="28"/>
          <w:u w:val="thick"/>
        </w:rPr>
        <w:t xml:space="preserve"> </w:t>
      </w:r>
      <w:r w:rsidRPr="00EA400D">
        <w:rPr>
          <w:b/>
          <w:sz w:val="24"/>
          <w:szCs w:val="28"/>
          <w:u w:val="thick"/>
        </w:rPr>
        <w:t>&amp;</w:t>
      </w:r>
      <w:r w:rsidRPr="00EA400D">
        <w:rPr>
          <w:b/>
          <w:spacing w:val="-4"/>
          <w:sz w:val="24"/>
          <w:szCs w:val="28"/>
          <w:u w:val="thick"/>
        </w:rPr>
        <w:t xml:space="preserve"> </w:t>
      </w:r>
      <w:r w:rsidRPr="00EA400D">
        <w:rPr>
          <w:b/>
          <w:sz w:val="24"/>
          <w:szCs w:val="28"/>
          <w:u w:val="thick"/>
        </w:rPr>
        <w:t>Standby Charges</w:t>
      </w:r>
    </w:p>
    <w:p w14:paraId="38285921" w14:textId="77777777" w:rsidR="00DD2B8E" w:rsidRPr="001F7505" w:rsidRDefault="00EA400D" w:rsidP="00F26033">
      <w:pPr>
        <w:pStyle w:val="BodyText"/>
        <w:spacing w:before="100" w:line="360" w:lineRule="auto"/>
        <w:ind w:left="1418" w:right="145"/>
        <w:jc w:val="both"/>
      </w:pPr>
      <w:r>
        <w:t>It has been suggested by SLDC that raising of CSS bill may be done at DISCOM end.</w:t>
      </w:r>
      <w:r w:rsidR="006D499A">
        <w:t xml:space="preserve"> </w:t>
      </w:r>
      <w:r w:rsidR="00F26033" w:rsidRPr="001F7505">
        <w:t xml:space="preserve">It is pertinent to mention here that, since July-23, upon sharing of meter reading data SLDC advises to raise the CSS bill by DISCOMs. Accordingly, TPWODL has raised the monthly CSS bill since July-23. </w:t>
      </w:r>
      <w:r w:rsidR="00D821F5" w:rsidRPr="001F7505">
        <w:t>Upon</w:t>
      </w:r>
      <w:r w:rsidR="002436E3" w:rsidRPr="001F7505">
        <w:t xml:space="preserve"> sharing </w:t>
      </w:r>
      <w:r w:rsidR="00F26033" w:rsidRPr="001F7505">
        <w:t xml:space="preserve">meter reading particulars with SLDC, in turn, SLDC </w:t>
      </w:r>
      <w:r w:rsidR="00C5719B" w:rsidRPr="001F7505">
        <w:t>verifies</w:t>
      </w:r>
      <w:r w:rsidR="00F26033" w:rsidRPr="001F7505">
        <w:t xml:space="preserve"> and </w:t>
      </w:r>
      <w:r w:rsidR="00C5719B" w:rsidRPr="001F7505">
        <w:t>communicates</w:t>
      </w:r>
      <w:r w:rsidR="00F26033" w:rsidRPr="001F7505">
        <w:t xml:space="preserve"> to DISCOMs. By this process, consumers </w:t>
      </w:r>
      <w:r w:rsidR="0063650E" w:rsidRPr="001F7505">
        <w:t>are</w:t>
      </w:r>
      <w:r w:rsidR="00F26033" w:rsidRPr="001F7505">
        <w:t xml:space="preserve"> </w:t>
      </w:r>
      <w:r w:rsidR="00C5719B" w:rsidRPr="001F7505">
        <w:t>getting</w:t>
      </w:r>
      <w:r w:rsidR="00F26033" w:rsidRPr="001F7505">
        <w:t xml:space="preserve"> the bill at the end of the month. </w:t>
      </w:r>
    </w:p>
    <w:p w14:paraId="078D8514" w14:textId="62537066" w:rsidR="00F26033" w:rsidRDefault="00F26033" w:rsidP="00F26033">
      <w:pPr>
        <w:pStyle w:val="BodyText"/>
        <w:spacing w:before="100" w:line="360" w:lineRule="auto"/>
        <w:ind w:left="1418" w:right="145"/>
        <w:jc w:val="both"/>
      </w:pPr>
      <w:r w:rsidRPr="001F7505">
        <w:t xml:space="preserve">In the above communication process, considerable time </w:t>
      </w:r>
      <w:r w:rsidR="001F7505" w:rsidRPr="001F7505">
        <w:t xml:space="preserve">is </w:t>
      </w:r>
      <w:proofErr w:type="gramStart"/>
      <w:r w:rsidR="001F7505" w:rsidRPr="001F7505">
        <w:t xml:space="preserve">being </w:t>
      </w:r>
      <w:r w:rsidRPr="001F7505">
        <w:t xml:space="preserve"> taken</w:t>
      </w:r>
      <w:proofErr w:type="gramEnd"/>
      <w:r w:rsidRPr="001F7505">
        <w:t xml:space="preserve"> to realize the CSS amount. CSS </w:t>
      </w:r>
      <w:r w:rsidR="004B64C2" w:rsidRPr="001F7505">
        <w:t>charges</w:t>
      </w:r>
      <w:r w:rsidRPr="001F7505">
        <w:t xml:space="preserve"> </w:t>
      </w:r>
      <w:r w:rsidR="004B64C2" w:rsidRPr="001F7505">
        <w:t>being</w:t>
      </w:r>
      <w:r w:rsidRPr="001F7505">
        <w:t xml:space="preserve"> realized at the end of </w:t>
      </w:r>
      <w:r w:rsidR="004B64C2" w:rsidRPr="001F7505">
        <w:t>the subsequent month</w:t>
      </w:r>
      <w:r w:rsidRPr="001F7505">
        <w:t xml:space="preserve">. Therefore, it is our suggestion/ request to permit DISCOM to bill the CSS at </w:t>
      </w:r>
      <w:r w:rsidR="001F7505" w:rsidRPr="001F7505">
        <w:t xml:space="preserve">its </w:t>
      </w:r>
      <w:r w:rsidRPr="001F7505">
        <w:t xml:space="preserve">end </w:t>
      </w:r>
      <w:r w:rsidR="00A56B09" w:rsidRPr="001F7505">
        <w:t xml:space="preserve">upon receipt of the OA schedule data and deriving actual drawl from meter data </w:t>
      </w:r>
      <w:r w:rsidRPr="001F7505">
        <w:t xml:space="preserve">with a copy to SLDC. Deviation found if any upon verification by SLDC shall be considered/factored in the next bill. In this process, the CSS bill can be raised in 1st week itself and the realization of the same would be </w:t>
      </w:r>
      <w:r w:rsidR="001F7505" w:rsidRPr="001F7505">
        <w:t>well within time</w:t>
      </w:r>
      <w:r w:rsidRPr="001F7505">
        <w:t>.</w:t>
      </w:r>
    </w:p>
    <w:p w14:paraId="288203DC" w14:textId="77777777" w:rsidR="00EA400D" w:rsidRDefault="00EA400D" w:rsidP="00B74327">
      <w:pPr>
        <w:pStyle w:val="BodyText"/>
        <w:spacing w:line="360" w:lineRule="auto"/>
        <w:ind w:left="1418" w:right="146"/>
        <w:jc w:val="both"/>
      </w:pPr>
      <w:r>
        <w:t>Further, SLDC has suggested that “Cross subsidy surcharge determined on Per Unit</w:t>
      </w:r>
      <w:r>
        <w:rPr>
          <w:spacing w:val="1"/>
        </w:rPr>
        <w:t xml:space="preserve"> </w:t>
      </w:r>
      <w:r>
        <w:t>basis shall be payable, on monthly basis, by the open access consumers based on the</w:t>
      </w:r>
      <w:r>
        <w:rPr>
          <w:spacing w:val="-50"/>
        </w:rPr>
        <w:t xml:space="preserve"> </w:t>
      </w:r>
      <w:r>
        <w:rPr>
          <w:b/>
          <w:u w:val="single"/>
        </w:rPr>
        <w:t>actual</w:t>
      </w:r>
      <w:r>
        <w:rPr>
          <w:b/>
          <w:spacing w:val="-2"/>
          <w:u w:val="single"/>
        </w:rPr>
        <w:t xml:space="preserve"> </w:t>
      </w:r>
      <w:r>
        <w:rPr>
          <w:b/>
          <w:u w:val="single"/>
        </w:rPr>
        <w:t>energy</w:t>
      </w:r>
      <w:r>
        <w:rPr>
          <w:b/>
          <w:spacing w:val="-1"/>
          <w:u w:val="single"/>
        </w:rPr>
        <w:t xml:space="preserve"> </w:t>
      </w:r>
      <w:r>
        <w:rPr>
          <w:b/>
          <w:u w:val="single"/>
        </w:rPr>
        <w:t>drawn</w:t>
      </w:r>
      <w:r>
        <w:rPr>
          <w:b/>
        </w:rPr>
        <w:t xml:space="preserve"> </w:t>
      </w:r>
      <w:r>
        <w:t>during</w:t>
      </w:r>
      <w:r>
        <w:rPr>
          <w:spacing w:val="-3"/>
        </w:rPr>
        <w:t xml:space="preserve"> </w:t>
      </w:r>
      <w:r>
        <w:t>the</w:t>
      </w:r>
      <w:r>
        <w:rPr>
          <w:spacing w:val="-1"/>
        </w:rPr>
        <w:t xml:space="preserve"> </w:t>
      </w:r>
      <w:r>
        <w:t>month</w:t>
      </w:r>
      <w:r>
        <w:rPr>
          <w:spacing w:val="-1"/>
        </w:rPr>
        <w:t xml:space="preserve"> </w:t>
      </w:r>
      <w:r>
        <w:t>through open</w:t>
      </w:r>
      <w:r>
        <w:rPr>
          <w:spacing w:val="-1"/>
        </w:rPr>
        <w:t xml:space="preserve"> </w:t>
      </w:r>
      <w:r>
        <w:t>access.”</w:t>
      </w:r>
    </w:p>
    <w:p w14:paraId="57A77964" w14:textId="10E81FDC" w:rsidR="00EA400D" w:rsidRDefault="00EA400D" w:rsidP="00B74327">
      <w:pPr>
        <w:pStyle w:val="BodyText"/>
        <w:spacing w:before="100" w:line="360" w:lineRule="auto"/>
        <w:ind w:left="1418" w:right="143"/>
        <w:jc w:val="both"/>
      </w:pPr>
      <w:r>
        <w:lastRenderedPageBreak/>
        <w:t>In this regard, it is to submit that Hon’ble Commission while reviewing performance</w:t>
      </w:r>
      <w:r>
        <w:rPr>
          <w:spacing w:val="1"/>
        </w:rPr>
        <w:t xml:space="preserve"> </w:t>
      </w:r>
      <w:r>
        <w:t>of OPTCL for the period Apr-13 to Sept-13 of FY13-14 in the record note of review</w:t>
      </w:r>
      <w:r>
        <w:rPr>
          <w:spacing w:val="1"/>
        </w:rPr>
        <w:t xml:space="preserve"> </w:t>
      </w:r>
      <w:r>
        <w:t>meeting</w:t>
      </w:r>
      <w:r>
        <w:rPr>
          <w:spacing w:val="1"/>
        </w:rPr>
        <w:t xml:space="preserve"> </w:t>
      </w:r>
      <w:r>
        <w:t>dt.18</w:t>
      </w:r>
      <w:proofErr w:type="spellStart"/>
      <w:r>
        <w:rPr>
          <w:position w:val="6"/>
          <w:sz w:val="16"/>
        </w:rPr>
        <w:t>th</w:t>
      </w:r>
      <w:proofErr w:type="spellEnd"/>
      <w:r>
        <w:rPr>
          <w:spacing w:val="1"/>
          <w:position w:val="6"/>
          <w:sz w:val="16"/>
        </w:rPr>
        <w:t xml:space="preserve"> </w:t>
      </w:r>
      <w:r>
        <w:t>Feb-2013</w:t>
      </w:r>
      <w:r>
        <w:rPr>
          <w:spacing w:val="1"/>
        </w:rPr>
        <w:t xml:space="preserve"> </w:t>
      </w:r>
      <w:r>
        <w:t>communicated</w:t>
      </w:r>
      <w:r>
        <w:rPr>
          <w:spacing w:val="1"/>
        </w:rPr>
        <w:t xml:space="preserve"> </w:t>
      </w:r>
      <w:r>
        <w:t>vide letter</w:t>
      </w:r>
      <w:r>
        <w:rPr>
          <w:spacing w:val="1"/>
        </w:rPr>
        <w:t xml:space="preserve"> </w:t>
      </w:r>
      <w:r>
        <w:t>no. OERC-Engg-21/2005(Vol-</w:t>
      </w:r>
      <w:r>
        <w:rPr>
          <w:spacing w:val="1"/>
        </w:rPr>
        <w:t xml:space="preserve"> </w:t>
      </w:r>
      <w:r>
        <w:t>III)/1544 dt.31-12-2013 where in it has been directed that SLDC should bill cross</w:t>
      </w:r>
      <w:r>
        <w:rPr>
          <w:spacing w:val="1"/>
        </w:rPr>
        <w:t xml:space="preserve"> </w:t>
      </w:r>
      <w:r>
        <w:t>subsidy</w:t>
      </w:r>
      <w:r>
        <w:rPr>
          <w:spacing w:val="1"/>
        </w:rPr>
        <w:t xml:space="preserve"> </w:t>
      </w:r>
      <w:r>
        <w:t>surcharge</w:t>
      </w:r>
      <w:r>
        <w:rPr>
          <w:spacing w:val="1"/>
        </w:rPr>
        <w:t xml:space="preserve"> </w:t>
      </w:r>
      <w:r>
        <w:t>to</w:t>
      </w:r>
      <w:r>
        <w:rPr>
          <w:spacing w:val="1"/>
        </w:rPr>
        <w:t xml:space="preserve"> </w:t>
      </w:r>
      <w:r>
        <w:t>the</w:t>
      </w:r>
      <w:r>
        <w:rPr>
          <w:spacing w:val="1"/>
        </w:rPr>
        <w:t xml:space="preserve"> </w:t>
      </w:r>
      <w:r>
        <w:t>open access</w:t>
      </w:r>
      <w:r>
        <w:rPr>
          <w:spacing w:val="1"/>
        </w:rPr>
        <w:t xml:space="preserve"> </w:t>
      </w:r>
      <w:r>
        <w:t>customer</w:t>
      </w:r>
      <w:r>
        <w:rPr>
          <w:spacing w:val="1"/>
        </w:rPr>
        <w:t xml:space="preserve"> </w:t>
      </w:r>
      <w:r>
        <w:rPr>
          <w:b/>
          <w:u w:val="single"/>
        </w:rPr>
        <w:t>on the total amount</w:t>
      </w:r>
      <w:r>
        <w:rPr>
          <w:b/>
          <w:spacing w:val="52"/>
          <w:u w:val="single"/>
        </w:rPr>
        <w:t xml:space="preserve"> </w:t>
      </w:r>
      <w:r>
        <w:rPr>
          <w:b/>
          <w:u w:val="single"/>
        </w:rPr>
        <w:t>of</w:t>
      </w:r>
      <w:r>
        <w:rPr>
          <w:b/>
          <w:spacing w:val="53"/>
          <w:u w:val="single"/>
        </w:rPr>
        <w:t xml:space="preserve"> </w:t>
      </w:r>
      <w:r>
        <w:rPr>
          <w:b/>
          <w:u w:val="single"/>
        </w:rPr>
        <w:t>energy</w:t>
      </w:r>
      <w:r>
        <w:rPr>
          <w:b/>
          <w:spacing w:val="1"/>
        </w:rPr>
        <w:t xml:space="preserve"> </w:t>
      </w:r>
      <w:r>
        <w:rPr>
          <w:b/>
          <w:u w:val="single"/>
        </w:rPr>
        <w:t>they</w:t>
      </w:r>
      <w:r>
        <w:rPr>
          <w:b/>
          <w:spacing w:val="1"/>
          <w:u w:val="single"/>
        </w:rPr>
        <w:t xml:space="preserve"> </w:t>
      </w:r>
      <w:r>
        <w:rPr>
          <w:b/>
          <w:u w:val="single"/>
        </w:rPr>
        <w:t>have</w:t>
      </w:r>
      <w:r>
        <w:rPr>
          <w:b/>
          <w:spacing w:val="1"/>
          <w:u w:val="single"/>
        </w:rPr>
        <w:t xml:space="preserve"> </w:t>
      </w:r>
      <w:r>
        <w:rPr>
          <w:b/>
          <w:u w:val="single"/>
        </w:rPr>
        <w:t>drawn</w:t>
      </w:r>
      <w:r>
        <w:rPr>
          <w:b/>
          <w:spacing w:val="1"/>
          <w:u w:val="single"/>
        </w:rPr>
        <w:t xml:space="preserve"> </w:t>
      </w:r>
      <w:r>
        <w:rPr>
          <w:b/>
          <w:u w:val="single"/>
        </w:rPr>
        <w:t>from</w:t>
      </w:r>
      <w:r>
        <w:rPr>
          <w:b/>
          <w:spacing w:val="1"/>
          <w:u w:val="single"/>
        </w:rPr>
        <w:t xml:space="preserve"> </w:t>
      </w:r>
      <w:r>
        <w:rPr>
          <w:b/>
          <w:u w:val="single"/>
        </w:rPr>
        <w:t>the</w:t>
      </w:r>
      <w:r>
        <w:rPr>
          <w:b/>
          <w:spacing w:val="1"/>
          <w:u w:val="single"/>
        </w:rPr>
        <w:t xml:space="preserve"> </w:t>
      </w:r>
      <w:r>
        <w:rPr>
          <w:b/>
          <w:u w:val="single"/>
        </w:rPr>
        <w:t>outside</w:t>
      </w:r>
      <w:r>
        <w:rPr>
          <w:b/>
          <w:spacing w:val="1"/>
          <w:u w:val="single"/>
        </w:rPr>
        <w:t xml:space="preserve"> </w:t>
      </w:r>
      <w:r>
        <w:rPr>
          <w:b/>
          <w:u w:val="single"/>
        </w:rPr>
        <w:t>source</w:t>
      </w:r>
      <w:r>
        <w:rPr>
          <w:b/>
          <w:spacing w:val="1"/>
          <w:u w:val="single"/>
        </w:rPr>
        <w:t xml:space="preserve"> </w:t>
      </w:r>
      <w:r>
        <w:rPr>
          <w:b/>
          <w:u w:val="single"/>
        </w:rPr>
        <w:t>irrespective</w:t>
      </w:r>
      <w:r>
        <w:rPr>
          <w:b/>
          <w:spacing w:val="1"/>
          <w:u w:val="single"/>
        </w:rPr>
        <w:t xml:space="preserve"> </w:t>
      </w:r>
      <w:r>
        <w:rPr>
          <w:b/>
          <w:u w:val="single"/>
        </w:rPr>
        <w:t>of</w:t>
      </w:r>
      <w:r>
        <w:rPr>
          <w:b/>
          <w:spacing w:val="1"/>
          <w:u w:val="single"/>
        </w:rPr>
        <w:t xml:space="preserve"> </w:t>
      </w:r>
      <w:r>
        <w:rPr>
          <w:b/>
          <w:u w:val="single"/>
        </w:rPr>
        <w:t>their</w:t>
      </w:r>
      <w:r>
        <w:rPr>
          <w:b/>
          <w:spacing w:val="1"/>
          <w:u w:val="single"/>
        </w:rPr>
        <w:t xml:space="preserve"> </w:t>
      </w:r>
      <w:r>
        <w:rPr>
          <w:b/>
          <w:u w:val="single"/>
        </w:rPr>
        <w:t>Contract</w:t>
      </w:r>
      <w:r>
        <w:rPr>
          <w:b/>
          <w:spacing w:val="1"/>
        </w:rPr>
        <w:t xml:space="preserve"> </w:t>
      </w:r>
      <w:r>
        <w:rPr>
          <w:b/>
          <w:u w:val="single"/>
        </w:rPr>
        <w:t>Demand</w:t>
      </w:r>
      <w:r>
        <w:t xml:space="preserve">. Since </w:t>
      </w:r>
      <w:proofErr w:type="gramStart"/>
      <w:r>
        <w:t>then</w:t>
      </w:r>
      <w:proofErr w:type="gramEnd"/>
      <w:r>
        <w:t xml:space="preserve"> SLDC </w:t>
      </w:r>
      <w:proofErr w:type="gramStart"/>
      <w:r>
        <w:t>is</w:t>
      </w:r>
      <w:proofErr w:type="gramEnd"/>
      <w:r>
        <w:t xml:space="preserve"> raising CSS bills on actual energy consumed by Open</w:t>
      </w:r>
      <w:r>
        <w:rPr>
          <w:spacing w:val="1"/>
        </w:rPr>
        <w:t xml:space="preserve"> </w:t>
      </w:r>
      <w:r>
        <w:t>Access Customers. For which every 15 minutes time block data is being perused and</w:t>
      </w:r>
      <w:r>
        <w:rPr>
          <w:spacing w:val="-50"/>
        </w:rPr>
        <w:t xml:space="preserve"> </w:t>
      </w:r>
      <w:r w:rsidR="00413FA3">
        <w:rPr>
          <w:spacing w:val="-50"/>
        </w:rPr>
        <w:t xml:space="preserve">           </w:t>
      </w:r>
      <w:r>
        <w:t>actual energy consumed out of open access quantum is derived for billing purposes,</w:t>
      </w:r>
      <w:r>
        <w:rPr>
          <w:spacing w:val="1"/>
        </w:rPr>
        <w:t xml:space="preserve"> </w:t>
      </w:r>
      <w:r>
        <w:t>which</w:t>
      </w:r>
      <w:r>
        <w:rPr>
          <w:spacing w:val="-2"/>
        </w:rPr>
        <w:t xml:space="preserve"> </w:t>
      </w:r>
      <w:r>
        <w:t>is a cumbersome</w:t>
      </w:r>
      <w:r>
        <w:rPr>
          <w:spacing w:val="2"/>
        </w:rPr>
        <w:t xml:space="preserve"> </w:t>
      </w:r>
      <w:r>
        <w:t>activity.</w:t>
      </w:r>
    </w:p>
    <w:p w14:paraId="57C65440" w14:textId="77777777" w:rsidR="00EA400D" w:rsidRDefault="00EA400D" w:rsidP="00B74327">
      <w:pPr>
        <w:pStyle w:val="BodyText"/>
        <w:spacing w:before="5"/>
        <w:ind w:left="1418"/>
        <w:rPr>
          <w:sz w:val="28"/>
        </w:rPr>
      </w:pPr>
    </w:p>
    <w:p w14:paraId="6E9B11B6" w14:textId="77777777" w:rsidR="00EA400D" w:rsidRDefault="00EA400D" w:rsidP="00B74327">
      <w:pPr>
        <w:pStyle w:val="BodyText"/>
        <w:spacing w:line="360" w:lineRule="auto"/>
        <w:ind w:left="1418" w:right="145"/>
        <w:jc w:val="both"/>
      </w:pPr>
      <w:r>
        <w:t>TPWODL is of the view that the Open Access Customers are purchasing power from</w:t>
      </w:r>
      <w:r>
        <w:rPr>
          <w:spacing w:val="1"/>
        </w:rPr>
        <w:t xml:space="preserve"> </w:t>
      </w:r>
      <w:r>
        <w:t>outside for which SLDC is scheduling and the consumer is paying the transmission</w:t>
      </w:r>
      <w:r>
        <w:rPr>
          <w:spacing w:val="1"/>
        </w:rPr>
        <w:t xml:space="preserve"> </w:t>
      </w:r>
      <w:r>
        <w:t>charges/ wheeling charges on the entire power scheduled as well as must be paying</w:t>
      </w:r>
      <w:r>
        <w:rPr>
          <w:spacing w:val="1"/>
        </w:rPr>
        <w:t xml:space="preserve"> </w:t>
      </w:r>
      <w:r>
        <w:t>upfront</w:t>
      </w:r>
      <w:r>
        <w:rPr>
          <w:spacing w:val="37"/>
        </w:rPr>
        <w:t xml:space="preserve"> </w:t>
      </w:r>
      <w:r>
        <w:t>to</w:t>
      </w:r>
      <w:r>
        <w:rPr>
          <w:spacing w:val="36"/>
        </w:rPr>
        <w:t xml:space="preserve"> </w:t>
      </w:r>
      <w:r>
        <w:t>the</w:t>
      </w:r>
      <w:r>
        <w:rPr>
          <w:spacing w:val="38"/>
        </w:rPr>
        <w:t xml:space="preserve"> </w:t>
      </w:r>
      <w:r>
        <w:t>seller</w:t>
      </w:r>
      <w:r>
        <w:rPr>
          <w:spacing w:val="35"/>
        </w:rPr>
        <w:t xml:space="preserve"> </w:t>
      </w:r>
      <w:r>
        <w:t>on</w:t>
      </w:r>
      <w:r>
        <w:rPr>
          <w:spacing w:val="36"/>
        </w:rPr>
        <w:t xml:space="preserve"> </w:t>
      </w:r>
      <w:r>
        <w:t>the</w:t>
      </w:r>
      <w:r>
        <w:rPr>
          <w:spacing w:val="36"/>
        </w:rPr>
        <w:t xml:space="preserve"> </w:t>
      </w:r>
      <w:r>
        <w:t>entire</w:t>
      </w:r>
      <w:r>
        <w:rPr>
          <w:spacing w:val="36"/>
        </w:rPr>
        <w:t xml:space="preserve"> </w:t>
      </w:r>
      <w:r>
        <w:t>power</w:t>
      </w:r>
      <w:r>
        <w:rPr>
          <w:spacing w:val="35"/>
        </w:rPr>
        <w:t xml:space="preserve"> </w:t>
      </w:r>
      <w:r>
        <w:t>scheduled.</w:t>
      </w:r>
      <w:r>
        <w:rPr>
          <w:spacing w:val="37"/>
        </w:rPr>
        <w:t xml:space="preserve"> </w:t>
      </w:r>
      <w:r>
        <w:t>So,</w:t>
      </w:r>
      <w:r>
        <w:rPr>
          <w:spacing w:val="37"/>
        </w:rPr>
        <w:t xml:space="preserve"> </w:t>
      </w:r>
      <w:r>
        <w:t>SLDC</w:t>
      </w:r>
      <w:r>
        <w:rPr>
          <w:spacing w:val="35"/>
        </w:rPr>
        <w:t xml:space="preserve"> </w:t>
      </w:r>
      <w:r>
        <w:t>or</w:t>
      </w:r>
      <w:r>
        <w:rPr>
          <w:spacing w:val="35"/>
        </w:rPr>
        <w:t xml:space="preserve"> </w:t>
      </w:r>
      <w:r>
        <w:t>DISCOM</w:t>
      </w:r>
      <w:r>
        <w:rPr>
          <w:spacing w:val="36"/>
        </w:rPr>
        <w:t xml:space="preserve"> </w:t>
      </w:r>
      <w:r>
        <w:t>should</w:t>
      </w:r>
      <w:r>
        <w:rPr>
          <w:spacing w:val="-50"/>
        </w:rPr>
        <w:t xml:space="preserve"> </w:t>
      </w:r>
      <w:r>
        <w:t xml:space="preserve">raise the CSS bill on the entire quantum of power sourced from outside </w:t>
      </w:r>
      <w:proofErr w:type="gramStart"/>
      <w:r>
        <w:t>on the basis</w:t>
      </w:r>
      <w:r>
        <w:rPr>
          <w:spacing w:val="1"/>
        </w:rPr>
        <w:t xml:space="preserve"> </w:t>
      </w:r>
      <w:r>
        <w:t>of</w:t>
      </w:r>
      <w:proofErr w:type="gramEnd"/>
      <w:r>
        <w:rPr>
          <w:spacing w:val="1"/>
        </w:rPr>
        <w:t xml:space="preserve"> </w:t>
      </w:r>
      <w:r>
        <w:t>scheduled</w:t>
      </w:r>
      <w:r>
        <w:rPr>
          <w:spacing w:val="1"/>
        </w:rPr>
        <w:t xml:space="preserve"> </w:t>
      </w:r>
      <w:r>
        <w:t>energy.</w:t>
      </w:r>
      <w:r>
        <w:rPr>
          <w:spacing w:val="1"/>
        </w:rPr>
        <w:t xml:space="preserve"> </w:t>
      </w:r>
      <w:r>
        <w:t>Hon’ble</w:t>
      </w:r>
      <w:r>
        <w:rPr>
          <w:spacing w:val="1"/>
        </w:rPr>
        <w:t xml:space="preserve"> </w:t>
      </w:r>
      <w:r>
        <w:t>Commission</w:t>
      </w:r>
      <w:r>
        <w:rPr>
          <w:spacing w:val="1"/>
        </w:rPr>
        <w:t xml:space="preserve"> </w:t>
      </w:r>
      <w:r>
        <w:t>earlier</w:t>
      </w:r>
      <w:r>
        <w:rPr>
          <w:spacing w:val="1"/>
        </w:rPr>
        <w:t xml:space="preserve"> </w:t>
      </w:r>
      <w:r>
        <w:t>direction</w:t>
      </w:r>
      <w:r>
        <w:rPr>
          <w:spacing w:val="1"/>
        </w:rPr>
        <w:t xml:space="preserve"> </w:t>
      </w:r>
      <w:r>
        <w:t>also</w:t>
      </w:r>
      <w:r>
        <w:rPr>
          <w:spacing w:val="1"/>
        </w:rPr>
        <w:t xml:space="preserve"> </w:t>
      </w:r>
      <w:r>
        <w:t>in</w:t>
      </w:r>
      <w:r>
        <w:rPr>
          <w:spacing w:val="1"/>
        </w:rPr>
        <w:t xml:space="preserve"> </w:t>
      </w:r>
      <w:r>
        <w:t>line</w:t>
      </w:r>
      <w:r>
        <w:rPr>
          <w:spacing w:val="1"/>
        </w:rPr>
        <w:t xml:space="preserve"> </w:t>
      </w:r>
      <w:r>
        <w:t>with</w:t>
      </w:r>
      <w:r>
        <w:rPr>
          <w:spacing w:val="52"/>
        </w:rPr>
        <w:t xml:space="preserve"> </w:t>
      </w:r>
      <w:r>
        <w:t>the</w:t>
      </w:r>
      <w:r>
        <w:rPr>
          <w:spacing w:val="-50"/>
        </w:rPr>
        <w:t xml:space="preserve"> </w:t>
      </w:r>
      <w:r>
        <w:t>same.</w:t>
      </w:r>
      <w:r>
        <w:rPr>
          <w:spacing w:val="1"/>
        </w:rPr>
        <w:t xml:space="preserve"> </w:t>
      </w:r>
      <w:r>
        <w:t>The</w:t>
      </w:r>
      <w:r>
        <w:rPr>
          <w:spacing w:val="1"/>
        </w:rPr>
        <w:t xml:space="preserve"> </w:t>
      </w:r>
      <w:r>
        <w:t>system</w:t>
      </w:r>
      <w:r>
        <w:rPr>
          <w:spacing w:val="1"/>
        </w:rPr>
        <w:t xml:space="preserve"> </w:t>
      </w:r>
      <w:r>
        <w:t>is</w:t>
      </w:r>
      <w:r>
        <w:rPr>
          <w:spacing w:val="1"/>
        </w:rPr>
        <w:t xml:space="preserve"> </w:t>
      </w:r>
      <w:r>
        <w:t>well</w:t>
      </w:r>
      <w:r>
        <w:rPr>
          <w:spacing w:val="1"/>
        </w:rPr>
        <w:t xml:space="preserve"> </w:t>
      </w:r>
      <w:r>
        <w:t>established,</w:t>
      </w:r>
      <w:r>
        <w:rPr>
          <w:spacing w:val="1"/>
        </w:rPr>
        <w:t xml:space="preserve"> </w:t>
      </w:r>
      <w:proofErr w:type="gramStart"/>
      <w:r>
        <w:t>transparent</w:t>
      </w:r>
      <w:proofErr w:type="gramEnd"/>
      <w:r>
        <w:rPr>
          <w:spacing w:val="1"/>
        </w:rPr>
        <w:t xml:space="preserve"> </w:t>
      </w:r>
      <w:r>
        <w:t>and</w:t>
      </w:r>
      <w:r>
        <w:rPr>
          <w:spacing w:val="1"/>
        </w:rPr>
        <w:t xml:space="preserve"> </w:t>
      </w:r>
      <w:r>
        <w:t>easily</w:t>
      </w:r>
      <w:r>
        <w:rPr>
          <w:spacing w:val="1"/>
        </w:rPr>
        <w:t xml:space="preserve"> </w:t>
      </w:r>
      <w:r>
        <w:t>manageable</w:t>
      </w:r>
      <w:r>
        <w:rPr>
          <w:spacing w:val="52"/>
        </w:rPr>
        <w:t xml:space="preserve"> </w:t>
      </w:r>
      <w:r>
        <w:t>from</w:t>
      </w:r>
      <w:r>
        <w:rPr>
          <w:spacing w:val="1"/>
        </w:rPr>
        <w:t xml:space="preserve"> </w:t>
      </w:r>
      <w:proofErr w:type="gramStart"/>
      <w:r>
        <w:t>billing</w:t>
      </w:r>
      <w:proofErr w:type="gramEnd"/>
      <w:r>
        <w:rPr>
          <w:spacing w:val="-3"/>
        </w:rPr>
        <w:t xml:space="preserve"> </w:t>
      </w:r>
      <w:r>
        <w:t>perspective.</w:t>
      </w:r>
    </w:p>
    <w:p w14:paraId="70ABF92A" w14:textId="3AF1E9A7" w:rsidR="00EA400D" w:rsidRPr="00EA400D" w:rsidRDefault="00EA400D" w:rsidP="00B74327">
      <w:pPr>
        <w:pStyle w:val="ListParagraph"/>
        <w:numPr>
          <w:ilvl w:val="0"/>
          <w:numId w:val="8"/>
        </w:numPr>
        <w:tabs>
          <w:tab w:val="left" w:pos="1063"/>
        </w:tabs>
        <w:spacing w:before="122"/>
        <w:ind w:left="1418"/>
        <w:jc w:val="both"/>
        <w:rPr>
          <w:b/>
          <w:sz w:val="24"/>
          <w:szCs w:val="28"/>
        </w:rPr>
      </w:pPr>
      <w:r w:rsidRPr="00EA400D">
        <w:rPr>
          <w:b/>
          <w:sz w:val="24"/>
          <w:szCs w:val="28"/>
          <w:u w:val="thick"/>
        </w:rPr>
        <w:t>Treatment</w:t>
      </w:r>
      <w:r w:rsidRPr="00EA400D">
        <w:rPr>
          <w:b/>
          <w:spacing w:val="48"/>
          <w:sz w:val="24"/>
          <w:szCs w:val="28"/>
          <w:u w:val="thick"/>
        </w:rPr>
        <w:t xml:space="preserve"> </w:t>
      </w:r>
      <w:r w:rsidRPr="00EA400D">
        <w:rPr>
          <w:b/>
          <w:sz w:val="24"/>
          <w:szCs w:val="28"/>
          <w:u w:val="thick"/>
        </w:rPr>
        <w:t>on</w:t>
      </w:r>
      <w:r w:rsidRPr="00EA400D">
        <w:rPr>
          <w:b/>
          <w:spacing w:val="48"/>
          <w:sz w:val="24"/>
          <w:szCs w:val="28"/>
          <w:u w:val="thick"/>
        </w:rPr>
        <w:t xml:space="preserve"> </w:t>
      </w:r>
      <w:r w:rsidRPr="00EA400D">
        <w:rPr>
          <w:b/>
          <w:sz w:val="24"/>
          <w:szCs w:val="28"/>
          <w:u w:val="thick"/>
        </w:rPr>
        <w:t>under</w:t>
      </w:r>
      <w:r w:rsidRPr="00EA400D">
        <w:rPr>
          <w:b/>
          <w:spacing w:val="47"/>
          <w:sz w:val="24"/>
          <w:szCs w:val="28"/>
          <w:u w:val="thick"/>
        </w:rPr>
        <w:t xml:space="preserve"> </w:t>
      </w:r>
      <w:r w:rsidRPr="00EA400D">
        <w:rPr>
          <w:b/>
          <w:sz w:val="24"/>
          <w:szCs w:val="28"/>
          <w:u w:val="thick"/>
        </w:rPr>
        <w:t>drawl</w:t>
      </w:r>
      <w:r w:rsidRPr="00EA400D">
        <w:rPr>
          <w:b/>
          <w:spacing w:val="48"/>
          <w:sz w:val="24"/>
          <w:szCs w:val="28"/>
          <w:u w:val="thick"/>
        </w:rPr>
        <w:t xml:space="preserve"> </w:t>
      </w:r>
      <w:r w:rsidRPr="00EA400D">
        <w:rPr>
          <w:b/>
          <w:sz w:val="24"/>
          <w:szCs w:val="28"/>
          <w:u w:val="thick"/>
        </w:rPr>
        <w:t>by</w:t>
      </w:r>
      <w:r w:rsidRPr="00EA400D">
        <w:rPr>
          <w:b/>
          <w:spacing w:val="47"/>
          <w:sz w:val="24"/>
          <w:szCs w:val="28"/>
          <w:u w:val="thick"/>
        </w:rPr>
        <w:t xml:space="preserve"> </w:t>
      </w:r>
      <w:r w:rsidRPr="00EA400D">
        <w:rPr>
          <w:b/>
          <w:sz w:val="24"/>
          <w:szCs w:val="28"/>
          <w:u w:val="thick"/>
        </w:rPr>
        <w:t>Open</w:t>
      </w:r>
      <w:r w:rsidRPr="00EA400D">
        <w:rPr>
          <w:b/>
          <w:spacing w:val="48"/>
          <w:sz w:val="24"/>
          <w:szCs w:val="28"/>
          <w:u w:val="thick"/>
        </w:rPr>
        <w:t xml:space="preserve"> </w:t>
      </w:r>
      <w:r w:rsidRPr="00EA400D">
        <w:rPr>
          <w:b/>
          <w:sz w:val="24"/>
          <w:szCs w:val="28"/>
          <w:u w:val="thick"/>
        </w:rPr>
        <w:t>Access</w:t>
      </w:r>
      <w:r w:rsidRPr="00EA400D">
        <w:rPr>
          <w:b/>
          <w:spacing w:val="47"/>
          <w:sz w:val="24"/>
          <w:szCs w:val="28"/>
          <w:u w:val="thick"/>
        </w:rPr>
        <w:t xml:space="preserve"> </w:t>
      </w:r>
      <w:r w:rsidRPr="00EA400D">
        <w:rPr>
          <w:b/>
          <w:sz w:val="24"/>
          <w:szCs w:val="28"/>
          <w:u w:val="thick"/>
        </w:rPr>
        <w:t>Customers</w:t>
      </w:r>
      <w:r w:rsidRPr="00EA400D">
        <w:rPr>
          <w:b/>
          <w:spacing w:val="47"/>
          <w:sz w:val="24"/>
          <w:szCs w:val="28"/>
          <w:u w:val="thick"/>
        </w:rPr>
        <w:t xml:space="preserve"> </w:t>
      </w:r>
      <w:r w:rsidRPr="00EA400D">
        <w:rPr>
          <w:b/>
          <w:sz w:val="24"/>
          <w:szCs w:val="28"/>
          <w:u w:val="thick"/>
        </w:rPr>
        <w:t>who</w:t>
      </w:r>
      <w:r w:rsidRPr="00EA400D">
        <w:rPr>
          <w:b/>
          <w:spacing w:val="48"/>
          <w:sz w:val="24"/>
          <w:szCs w:val="28"/>
          <w:u w:val="thick"/>
        </w:rPr>
        <w:t xml:space="preserve"> </w:t>
      </w:r>
      <w:r w:rsidRPr="00EA400D">
        <w:rPr>
          <w:b/>
          <w:sz w:val="24"/>
          <w:szCs w:val="28"/>
          <w:u w:val="thick"/>
        </w:rPr>
        <w:t>is</w:t>
      </w:r>
      <w:r w:rsidRPr="00EA400D">
        <w:rPr>
          <w:b/>
          <w:spacing w:val="48"/>
          <w:sz w:val="24"/>
          <w:szCs w:val="28"/>
          <w:u w:val="thick"/>
        </w:rPr>
        <w:t xml:space="preserve"> </w:t>
      </w:r>
      <w:r w:rsidRPr="00EA400D">
        <w:rPr>
          <w:b/>
          <w:sz w:val="24"/>
          <w:szCs w:val="28"/>
          <w:u w:val="thick"/>
        </w:rPr>
        <w:t>a</w:t>
      </w:r>
      <w:r w:rsidRPr="00EA400D">
        <w:rPr>
          <w:b/>
          <w:spacing w:val="47"/>
          <w:sz w:val="24"/>
          <w:szCs w:val="28"/>
          <w:u w:val="thick"/>
        </w:rPr>
        <w:t xml:space="preserve"> </w:t>
      </w:r>
      <w:r w:rsidRPr="00EA400D">
        <w:rPr>
          <w:b/>
          <w:sz w:val="24"/>
          <w:szCs w:val="28"/>
          <w:u w:val="thick"/>
        </w:rPr>
        <w:t>customer</w:t>
      </w:r>
      <w:r w:rsidRPr="00EA400D">
        <w:rPr>
          <w:b/>
          <w:spacing w:val="47"/>
          <w:sz w:val="24"/>
          <w:szCs w:val="28"/>
          <w:u w:val="thick"/>
        </w:rPr>
        <w:t xml:space="preserve"> </w:t>
      </w:r>
      <w:proofErr w:type="gramStart"/>
      <w:r w:rsidRPr="00EA400D">
        <w:rPr>
          <w:b/>
          <w:sz w:val="24"/>
          <w:szCs w:val="28"/>
          <w:u w:val="thick"/>
        </w:rPr>
        <w:t>of</w:t>
      </w:r>
      <w:r w:rsidR="004E01A1">
        <w:rPr>
          <w:b/>
          <w:sz w:val="24"/>
          <w:szCs w:val="28"/>
          <w:u w:val="thick"/>
        </w:rPr>
        <w:t xml:space="preserve"> </w:t>
      </w:r>
      <w:r w:rsidRPr="00EA400D">
        <w:rPr>
          <w:b/>
          <w:spacing w:val="-53"/>
          <w:sz w:val="24"/>
          <w:szCs w:val="28"/>
        </w:rPr>
        <w:t xml:space="preserve"> </w:t>
      </w:r>
      <w:r w:rsidRPr="00EA400D">
        <w:rPr>
          <w:b/>
          <w:sz w:val="24"/>
          <w:szCs w:val="28"/>
          <w:u w:val="thick"/>
        </w:rPr>
        <w:t>Distribution</w:t>
      </w:r>
      <w:proofErr w:type="gramEnd"/>
      <w:r w:rsidRPr="00EA400D">
        <w:rPr>
          <w:b/>
          <w:spacing w:val="-1"/>
          <w:sz w:val="24"/>
          <w:szCs w:val="28"/>
          <w:u w:val="thick"/>
        </w:rPr>
        <w:t xml:space="preserve"> </w:t>
      </w:r>
      <w:r w:rsidRPr="00EA400D">
        <w:rPr>
          <w:b/>
          <w:sz w:val="24"/>
          <w:szCs w:val="28"/>
          <w:u w:val="thick"/>
        </w:rPr>
        <w:t>Licensee</w:t>
      </w:r>
    </w:p>
    <w:p w14:paraId="7163B2BA" w14:textId="77777777" w:rsidR="00EA400D" w:rsidRDefault="00EA400D" w:rsidP="00B74327">
      <w:pPr>
        <w:pStyle w:val="BodyText"/>
        <w:spacing w:line="360" w:lineRule="auto"/>
        <w:ind w:left="1418" w:right="150"/>
        <w:jc w:val="both"/>
      </w:pPr>
    </w:p>
    <w:p w14:paraId="07CA16A4" w14:textId="09ED6A4D" w:rsidR="00171CCB" w:rsidRDefault="00EA400D" w:rsidP="00B74327">
      <w:pPr>
        <w:pStyle w:val="BodyText"/>
        <w:spacing w:before="1" w:line="360" w:lineRule="auto"/>
        <w:ind w:left="1418" w:right="142"/>
        <w:jc w:val="both"/>
      </w:pPr>
      <w:r w:rsidRPr="00EA400D">
        <w:t xml:space="preserve">The procedure suggested by SLDC has not been mentioned in the new Regulations, so this should not be incorporated. Further, the distribution licensee </w:t>
      </w:r>
      <w:proofErr w:type="gramStart"/>
      <w:r w:rsidRPr="00EA400D">
        <w:t>is</w:t>
      </w:r>
      <w:proofErr w:type="gramEnd"/>
      <w:r w:rsidRPr="00EA400D">
        <w:t xml:space="preserve"> no way responsible for loss of open access power as the Open Access Customers of DISCOM connected in 132 KV &amp; above which is clearly the domain of OPTCL, so fault would be at OPTCL end or at customer end. DISCOM has no role in such an arrangement. Therefore, there is no reason for DISCOM to compensate for power loss which is never delivered in DISCOM boundary. As regards </w:t>
      </w:r>
      <w:proofErr w:type="gramStart"/>
      <w:r w:rsidRPr="00EA400D">
        <w:t>consumer</w:t>
      </w:r>
      <w:proofErr w:type="gramEnd"/>
      <w:r w:rsidRPr="00EA400D">
        <w:t xml:space="preserve"> connected in 33 KV &amp; 11 KV supply and availing power through Open Access are </w:t>
      </w:r>
      <w:proofErr w:type="gramStart"/>
      <w:r w:rsidRPr="00EA400D">
        <w:t xml:space="preserve">well </w:t>
      </w:r>
      <w:r w:rsidRPr="00EA400D">
        <w:lastRenderedPageBreak/>
        <w:t>aware</w:t>
      </w:r>
      <w:proofErr w:type="gramEnd"/>
      <w:r w:rsidRPr="00EA400D">
        <w:t xml:space="preserve"> about the system availability and they are taking an evaluated business risk. Further, such customers are drawing power under Open Access beyond their Contract Demand so why DISCOM should compensate such customers when they directly schedule power beyond Contract Demand.</w:t>
      </w:r>
    </w:p>
    <w:p w14:paraId="0C7D07C8" w14:textId="77777777" w:rsidR="00985D15" w:rsidRDefault="00985D15" w:rsidP="00EA400D">
      <w:pPr>
        <w:pStyle w:val="ListParagraph"/>
        <w:ind w:left="993"/>
        <w:contextualSpacing w:val="0"/>
        <w:rPr>
          <w:b/>
          <w:sz w:val="24"/>
          <w:szCs w:val="24"/>
        </w:rPr>
      </w:pPr>
    </w:p>
    <w:p w14:paraId="1E95EE9E" w14:textId="219FDA0E" w:rsidR="00EA400D" w:rsidRPr="00EA400D" w:rsidRDefault="00EA400D" w:rsidP="00EA400D">
      <w:pPr>
        <w:pStyle w:val="ListParagraph"/>
        <w:ind w:left="993"/>
        <w:contextualSpacing w:val="0"/>
        <w:rPr>
          <w:b/>
          <w:sz w:val="24"/>
          <w:szCs w:val="24"/>
        </w:rPr>
      </w:pPr>
      <w:r w:rsidRPr="00EA400D">
        <w:rPr>
          <w:b/>
          <w:sz w:val="24"/>
          <w:szCs w:val="24"/>
        </w:rPr>
        <w:t>Other</w:t>
      </w:r>
      <w:r w:rsidRPr="00EA400D">
        <w:rPr>
          <w:b/>
          <w:spacing w:val="-3"/>
          <w:sz w:val="24"/>
          <w:szCs w:val="24"/>
        </w:rPr>
        <w:t xml:space="preserve"> </w:t>
      </w:r>
      <w:r w:rsidRPr="00EA400D">
        <w:rPr>
          <w:b/>
          <w:sz w:val="24"/>
          <w:szCs w:val="24"/>
        </w:rPr>
        <w:t>proposal</w:t>
      </w:r>
      <w:r>
        <w:rPr>
          <w:b/>
          <w:sz w:val="24"/>
          <w:szCs w:val="24"/>
        </w:rPr>
        <w:t>:</w:t>
      </w:r>
    </w:p>
    <w:p w14:paraId="542B503B" w14:textId="6AF0AA63" w:rsidR="00EA400D" w:rsidRDefault="00EA400D" w:rsidP="00EA400D">
      <w:pPr>
        <w:tabs>
          <w:tab w:val="left" w:pos="1660"/>
          <w:tab w:val="left" w:pos="1661"/>
        </w:tabs>
        <w:spacing w:before="213" w:line="360" w:lineRule="auto"/>
        <w:ind w:left="993" w:right="144"/>
        <w:jc w:val="both"/>
      </w:pPr>
      <w:r w:rsidRPr="00EA400D">
        <w:rPr>
          <w:sz w:val="24"/>
        </w:rPr>
        <w:t>As per OERC</w:t>
      </w:r>
      <w:r w:rsidRPr="00EA400D">
        <w:rPr>
          <w:spacing w:val="1"/>
          <w:sz w:val="24"/>
        </w:rPr>
        <w:t xml:space="preserve"> </w:t>
      </w:r>
      <w:r w:rsidRPr="00EA400D">
        <w:rPr>
          <w:sz w:val="24"/>
        </w:rPr>
        <w:t>(Terms and Conditions of Intra state</w:t>
      </w:r>
      <w:r w:rsidRPr="00EA400D">
        <w:rPr>
          <w:spacing w:val="1"/>
          <w:sz w:val="24"/>
        </w:rPr>
        <w:t xml:space="preserve"> </w:t>
      </w:r>
      <w:r w:rsidRPr="00EA400D">
        <w:rPr>
          <w:sz w:val="24"/>
        </w:rPr>
        <w:t>Open Access) Regulation,</w:t>
      </w:r>
      <w:r w:rsidRPr="00EA400D">
        <w:rPr>
          <w:spacing w:val="1"/>
          <w:sz w:val="24"/>
        </w:rPr>
        <w:t xml:space="preserve"> </w:t>
      </w:r>
      <w:r w:rsidRPr="00EA400D">
        <w:rPr>
          <w:sz w:val="24"/>
        </w:rPr>
        <w:t>2020</w:t>
      </w:r>
      <w:r w:rsidRPr="00EA400D">
        <w:rPr>
          <w:spacing w:val="1"/>
          <w:sz w:val="24"/>
        </w:rPr>
        <w:t xml:space="preserve"> </w:t>
      </w:r>
      <w:r w:rsidRPr="00EA400D">
        <w:rPr>
          <w:sz w:val="24"/>
        </w:rPr>
        <w:t>vide</w:t>
      </w:r>
      <w:r w:rsidRPr="00EA400D">
        <w:rPr>
          <w:spacing w:val="1"/>
          <w:sz w:val="24"/>
        </w:rPr>
        <w:t xml:space="preserve"> </w:t>
      </w:r>
      <w:r w:rsidRPr="00EA400D">
        <w:rPr>
          <w:sz w:val="24"/>
        </w:rPr>
        <w:t>para</w:t>
      </w:r>
      <w:r w:rsidRPr="00EA400D">
        <w:rPr>
          <w:spacing w:val="1"/>
          <w:sz w:val="24"/>
        </w:rPr>
        <w:t xml:space="preserve"> </w:t>
      </w:r>
      <w:r w:rsidRPr="00EA400D">
        <w:rPr>
          <w:sz w:val="24"/>
        </w:rPr>
        <w:t>35,</w:t>
      </w:r>
      <w:r w:rsidRPr="00EA400D">
        <w:rPr>
          <w:spacing w:val="1"/>
          <w:sz w:val="24"/>
        </w:rPr>
        <w:t xml:space="preserve"> </w:t>
      </w:r>
      <w:r w:rsidRPr="00EA400D">
        <w:rPr>
          <w:sz w:val="24"/>
        </w:rPr>
        <w:t>in</w:t>
      </w:r>
      <w:r w:rsidRPr="00EA400D">
        <w:rPr>
          <w:spacing w:val="1"/>
          <w:sz w:val="24"/>
        </w:rPr>
        <w:t xml:space="preserve"> </w:t>
      </w:r>
      <w:r w:rsidRPr="00EA400D">
        <w:rPr>
          <w:sz w:val="24"/>
        </w:rPr>
        <w:t>case</w:t>
      </w:r>
      <w:r w:rsidRPr="00EA400D">
        <w:rPr>
          <w:spacing w:val="1"/>
          <w:sz w:val="24"/>
        </w:rPr>
        <w:t xml:space="preserve"> </w:t>
      </w:r>
      <w:r w:rsidRPr="00EA400D">
        <w:rPr>
          <w:sz w:val="24"/>
        </w:rPr>
        <w:t>of</w:t>
      </w:r>
      <w:r w:rsidRPr="00EA400D">
        <w:rPr>
          <w:spacing w:val="1"/>
          <w:sz w:val="24"/>
        </w:rPr>
        <w:t xml:space="preserve"> </w:t>
      </w:r>
      <w:r w:rsidRPr="00EA400D">
        <w:rPr>
          <w:sz w:val="24"/>
        </w:rPr>
        <w:t>long-term</w:t>
      </w:r>
      <w:r w:rsidRPr="00EA400D">
        <w:rPr>
          <w:spacing w:val="1"/>
          <w:sz w:val="24"/>
        </w:rPr>
        <w:t xml:space="preserve"> </w:t>
      </w:r>
      <w:r w:rsidRPr="00EA400D">
        <w:rPr>
          <w:sz w:val="24"/>
        </w:rPr>
        <w:t>access</w:t>
      </w:r>
      <w:r w:rsidRPr="00EA400D">
        <w:rPr>
          <w:spacing w:val="1"/>
          <w:sz w:val="24"/>
        </w:rPr>
        <w:t xml:space="preserve"> </w:t>
      </w:r>
      <w:r w:rsidRPr="00EA400D">
        <w:rPr>
          <w:sz w:val="24"/>
        </w:rPr>
        <w:t>and</w:t>
      </w:r>
      <w:r w:rsidRPr="00EA400D">
        <w:rPr>
          <w:spacing w:val="1"/>
          <w:sz w:val="24"/>
        </w:rPr>
        <w:t xml:space="preserve"> </w:t>
      </w:r>
      <w:r w:rsidRPr="00EA400D">
        <w:rPr>
          <w:sz w:val="24"/>
        </w:rPr>
        <w:t>medium-term</w:t>
      </w:r>
      <w:r w:rsidRPr="00EA400D">
        <w:rPr>
          <w:spacing w:val="52"/>
          <w:sz w:val="24"/>
        </w:rPr>
        <w:t xml:space="preserve"> </w:t>
      </w:r>
      <w:r w:rsidRPr="00EA400D">
        <w:rPr>
          <w:sz w:val="24"/>
        </w:rPr>
        <w:t>open</w:t>
      </w:r>
      <w:r w:rsidRPr="00EA400D">
        <w:rPr>
          <w:spacing w:val="1"/>
          <w:sz w:val="24"/>
        </w:rPr>
        <w:t xml:space="preserve"> </w:t>
      </w:r>
      <w:r w:rsidRPr="00EA400D">
        <w:rPr>
          <w:sz w:val="24"/>
        </w:rPr>
        <w:t>access,</w:t>
      </w:r>
      <w:r w:rsidRPr="00EA400D">
        <w:rPr>
          <w:spacing w:val="1"/>
          <w:sz w:val="24"/>
        </w:rPr>
        <w:t xml:space="preserve"> </w:t>
      </w:r>
      <w:r w:rsidRPr="00EA400D">
        <w:rPr>
          <w:sz w:val="24"/>
        </w:rPr>
        <w:t>the</w:t>
      </w:r>
      <w:r w:rsidRPr="00EA400D">
        <w:rPr>
          <w:spacing w:val="1"/>
          <w:sz w:val="24"/>
        </w:rPr>
        <w:t xml:space="preserve"> </w:t>
      </w:r>
      <w:r w:rsidRPr="00EA400D">
        <w:rPr>
          <w:sz w:val="24"/>
        </w:rPr>
        <w:t>applicant</w:t>
      </w:r>
      <w:r w:rsidRPr="00EA400D">
        <w:rPr>
          <w:spacing w:val="1"/>
          <w:sz w:val="24"/>
        </w:rPr>
        <w:t xml:space="preserve"> </w:t>
      </w:r>
      <w:r w:rsidRPr="00EA400D">
        <w:rPr>
          <w:sz w:val="24"/>
        </w:rPr>
        <w:t>for</w:t>
      </w:r>
      <w:r w:rsidRPr="00EA400D">
        <w:rPr>
          <w:spacing w:val="1"/>
          <w:sz w:val="24"/>
        </w:rPr>
        <w:t xml:space="preserve"> </w:t>
      </w:r>
      <w:r w:rsidRPr="00EA400D">
        <w:rPr>
          <w:sz w:val="24"/>
        </w:rPr>
        <w:t>open</w:t>
      </w:r>
      <w:r w:rsidRPr="00EA400D">
        <w:rPr>
          <w:spacing w:val="1"/>
          <w:sz w:val="24"/>
        </w:rPr>
        <w:t xml:space="preserve"> </w:t>
      </w:r>
      <w:r w:rsidRPr="00EA400D">
        <w:rPr>
          <w:sz w:val="24"/>
        </w:rPr>
        <w:t>access</w:t>
      </w:r>
      <w:r w:rsidRPr="00EA400D">
        <w:rPr>
          <w:spacing w:val="1"/>
          <w:sz w:val="24"/>
        </w:rPr>
        <w:t xml:space="preserve"> </w:t>
      </w:r>
      <w:r w:rsidRPr="00EA400D">
        <w:rPr>
          <w:sz w:val="24"/>
        </w:rPr>
        <w:t>will</w:t>
      </w:r>
      <w:r w:rsidRPr="00EA400D">
        <w:rPr>
          <w:spacing w:val="1"/>
          <w:sz w:val="24"/>
        </w:rPr>
        <w:t xml:space="preserve"> </w:t>
      </w:r>
      <w:r w:rsidRPr="00EA400D">
        <w:rPr>
          <w:sz w:val="24"/>
        </w:rPr>
        <w:t>open</w:t>
      </w:r>
      <w:r w:rsidRPr="00EA400D">
        <w:rPr>
          <w:spacing w:val="1"/>
          <w:sz w:val="24"/>
        </w:rPr>
        <w:t xml:space="preserve"> </w:t>
      </w:r>
      <w:r w:rsidRPr="00EA400D">
        <w:rPr>
          <w:sz w:val="24"/>
        </w:rPr>
        <w:t>an</w:t>
      </w:r>
      <w:r w:rsidRPr="00EA400D">
        <w:rPr>
          <w:spacing w:val="1"/>
          <w:sz w:val="24"/>
        </w:rPr>
        <w:t xml:space="preserve"> </w:t>
      </w:r>
      <w:r w:rsidRPr="00EA400D">
        <w:rPr>
          <w:sz w:val="24"/>
        </w:rPr>
        <w:t>irrevocable</w:t>
      </w:r>
      <w:r w:rsidRPr="00EA400D">
        <w:rPr>
          <w:spacing w:val="52"/>
          <w:sz w:val="24"/>
        </w:rPr>
        <w:t xml:space="preserve"> </w:t>
      </w:r>
      <w:r w:rsidRPr="00EA400D">
        <w:rPr>
          <w:sz w:val="24"/>
        </w:rPr>
        <w:t>revolving</w:t>
      </w:r>
      <w:r w:rsidRPr="00EA400D">
        <w:rPr>
          <w:spacing w:val="1"/>
          <w:sz w:val="24"/>
        </w:rPr>
        <w:t xml:space="preserve"> </w:t>
      </w:r>
      <w:r w:rsidRPr="00EA400D">
        <w:rPr>
          <w:sz w:val="24"/>
        </w:rPr>
        <w:t>Letter of Credit in favor of the agency responsible for collection of various</w:t>
      </w:r>
      <w:r w:rsidRPr="00EA400D">
        <w:rPr>
          <w:spacing w:val="1"/>
          <w:sz w:val="24"/>
        </w:rPr>
        <w:t xml:space="preserve"> </w:t>
      </w:r>
      <w:r w:rsidRPr="00EA400D">
        <w:rPr>
          <w:sz w:val="24"/>
        </w:rPr>
        <w:t>charges for the estimated amount of various charges for a period of two (2)</w:t>
      </w:r>
      <w:r w:rsidRPr="00EA400D">
        <w:rPr>
          <w:spacing w:val="1"/>
          <w:sz w:val="24"/>
        </w:rPr>
        <w:t xml:space="preserve"> </w:t>
      </w:r>
      <w:r w:rsidRPr="00EA400D">
        <w:rPr>
          <w:sz w:val="24"/>
        </w:rPr>
        <w:t xml:space="preserve">months. </w:t>
      </w:r>
      <w:r w:rsidRPr="00EA400D">
        <w:rPr>
          <w:b/>
          <w:sz w:val="24"/>
        </w:rPr>
        <w:t xml:space="preserve">However, </w:t>
      </w:r>
      <w:r w:rsidR="00E27859" w:rsidRPr="00EA400D">
        <w:rPr>
          <w:b/>
          <w:sz w:val="24"/>
        </w:rPr>
        <w:t>there is no</w:t>
      </w:r>
      <w:r w:rsidRPr="00EA400D">
        <w:rPr>
          <w:b/>
          <w:sz w:val="24"/>
        </w:rPr>
        <w:t xml:space="preserve"> such security mechanism for consumers availing</w:t>
      </w:r>
      <w:r w:rsidRPr="00EA400D">
        <w:rPr>
          <w:b/>
          <w:spacing w:val="1"/>
          <w:sz w:val="24"/>
        </w:rPr>
        <w:t xml:space="preserve"> </w:t>
      </w:r>
      <w:r w:rsidRPr="00EA400D">
        <w:rPr>
          <w:b/>
          <w:sz w:val="24"/>
        </w:rPr>
        <w:t>power</w:t>
      </w:r>
      <w:r w:rsidRPr="00EA400D">
        <w:rPr>
          <w:b/>
          <w:spacing w:val="1"/>
          <w:sz w:val="24"/>
        </w:rPr>
        <w:t xml:space="preserve"> </w:t>
      </w:r>
      <w:r w:rsidRPr="00EA400D">
        <w:rPr>
          <w:b/>
          <w:sz w:val="24"/>
        </w:rPr>
        <w:t>under</w:t>
      </w:r>
      <w:r w:rsidRPr="00EA400D">
        <w:rPr>
          <w:b/>
          <w:spacing w:val="1"/>
          <w:sz w:val="24"/>
        </w:rPr>
        <w:t xml:space="preserve"> </w:t>
      </w:r>
      <w:r w:rsidRPr="00EA400D">
        <w:rPr>
          <w:b/>
          <w:sz w:val="24"/>
        </w:rPr>
        <w:t>short</w:t>
      </w:r>
      <w:r w:rsidRPr="00EA400D">
        <w:rPr>
          <w:b/>
          <w:spacing w:val="1"/>
          <w:sz w:val="24"/>
        </w:rPr>
        <w:t xml:space="preserve"> </w:t>
      </w:r>
      <w:r w:rsidRPr="00EA400D">
        <w:rPr>
          <w:b/>
          <w:sz w:val="24"/>
        </w:rPr>
        <w:t>term</w:t>
      </w:r>
      <w:r w:rsidRPr="00EA400D">
        <w:rPr>
          <w:b/>
          <w:spacing w:val="1"/>
          <w:sz w:val="24"/>
        </w:rPr>
        <w:t xml:space="preserve"> </w:t>
      </w:r>
      <w:r w:rsidRPr="00EA400D">
        <w:rPr>
          <w:b/>
          <w:sz w:val="24"/>
        </w:rPr>
        <w:t>open</w:t>
      </w:r>
      <w:r w:rsidRPr="00EA400D">
        <w:rPr>
          <w:b/>
          <w:spacing w:val="1"/>
          <w:sz w:val="24"/>
        </w:rPr>
        <w:t xml:space="preserve"> </w:t>
      </w:r>
      <w:r w:rsidRPr="00EA400D">
        <w:rPr>
          <w:b/>
          <w:sz w:val="24"/>
        </w:rPr>
        <w:t>access</w:t>
      </w:r>
      <w:r w:rsidRPr="00EA400D">
        <w:rPr>
          <w:b/>
          <w:spacing w:val="1"/>
          <w:sz w:val="24"/>
        </w:rPr>
        <w:t xml:space="preserve"> </w:t>
      </w:r>
      <w:r w:rsidRPr="00EA400D">
        <w:rPr>
          <w:b/>
          <w:sz w:val="24"/>
        </w:rPr>
        <w:t>with</w:t>
      </w:r>
      <w:r w:rsidRPr="00EA400D">
        <w:rPr>
          <w:b/>
          <w:spacing w:val="1"/>
          <w:sz w:val="24"/>
        </w:rPr>
        <w:t xml:space="preserve"> </w:t>
      </w:r>
      <w:r w:rsidRPr="00EA400D">
        <w:rPr>
          <w:b/>
          <w:sz w:val="24"/>
        </w:rPr>
        <w:t>the</w:t>
      </w:r>
      <w:r w:rsidRPr="00EA400D">
        <w:rPr>
          <w:b/>
          <w:spacing w:val="1"/>
          <w:sz w:val="24"/>
        </w:rPr>
        <w:t xml:space="preserve"> </w:t>
      </w:r>
      <w:r w:rsidRPr="00EA400D">
        <w:rPr>
          <w:b/>
          <w:sz w:val="24"/>
        </w:rPr>
        <w:t>licensee.</w:t>
      </w:r>
      <w:r w:rsidRPr="00EA400D">
        <w:rPr>
          <w:b/>
          <w:spacing w:val="1"/>
          <w:sz w:val="24"/>
        </w:rPr>
        <w:t xml:space="preserve"> </w:t>
      </w:r>
      <w:r w:rsidRPr="00EA400D">
        <w:rPr>
          <w:b/>
          <w:sz w:val="24"/>
        </w:rPr>
        <w:t>Therefore,</w:t>
      </w:r>
      <w:r w:rsidRPr="00EA400D">
        <w:rPr>
          <w:b/>
          <w:spacing w:val="1"/>
          <w:sz w:val="24"/>
        </w:rPr>
        <w:t xml:space="preserve"> </w:t>
      </w:r>
      <w:r w:rsidRPr="00EA400D">
        <w:rPr>
          <w:b/>
          <w:sz w:val="24"/>
        </w:rPr>
        <w:t>necessary</w:t>
      </w:r>
      <w:r w:rsidRPr="00EA400D">
        <w:rPr>
          <w:b/>
          <w:spacing w:val="-2"/>
          <w:sz w:val="24"/>
        </w:rPr>
        <w:t xml:space="preserve"> </w:t>
      </w:r>
      <w:r w:rsidR="002E1488" w:rsidRPr="00EA400D">
        <w:rPr>
          <w:b/>
          <w:sz w:val="24"/>
        </w:rPr>
        <w:t>directions</w:t>
      </w:r>
      <w:r w:rsidRPr="00EA400D">
        <w:rPr>
          <w:b/>
          <w:spacing w:val="-1"/>
          <w:sz w:val="24"/>
        </w:rPr>
        <w:t xml:space="preserve"> </w:t>
      </w:r>
      <w:r w:rsidRPr="00EA400D">
        <w:rPr>
          <w:b/>
          <w:sz w:val="24"/>
        </w:rPr>
        <w:t>may</w:t>
      </w:r>
      <w:r w:rsidRPr="00EA400D">
        <w:rPr>
          <w:b/>
          <w:spacing w:val="-1"/>
          <w:sz w:val="24"/>
        </w:rPr>
        <w:t xml:space="preserve"> </w:t>
      </w:r>
      <w:proofErr w:type="gramStart"/>
      <w:r w:rsidRPr="00EA400D">
        <w:rPr>
          <w:b/>
          <w:sz w:val="24"/>
        </w:rPr>
        <w:t>kindly</w:t>
      </w:r>
      <w:r w:rsidRPr="00EA400D">
        <w:rPr>
          <w:b/>
          <w:spacing w:val="-1"/>
          <w:sz w:val="24"/>
        </w:rPr>
        <w:t xml:space="preserve"> </w:t>
      </w:r>
      <w:r w:rsidRPr="00EA400D">
        <w:rPr>
          <w:b/>
          <w:sz w:val="24"/>
        </w:rPr>
        <w:t>be</w:t>
      </w:r>
      <w:r w:rsidRPr="00EA400D">
        <w:rPr>
          <w:b/>
          <w:spacing w:val="-2"/>
          <w:sz w:val="24"/>
        </w:rPr>
        <w:t xml:space="preserve"> </w:t>
      </w:r>
      <w:r w:rsidRPr="00EA400D">
        <w:rPr>
          <w:b/>
          <w:sz w:val="24"/>
        </w:rPr>
        <w:t>given</w:t>
      </w:r>
      <w:proofErr w:type="gramEnd"/>
      <w:r w:rsidRPr="00EA400D">
        <w:rPr>
          <w:b/>
          <w:spacing w:val="4"/>
          <w:sz w:val="24"/>
        </w:rPr>
        <w:t xml:space="preserve"> </w:t>
      </w:r>
      <w:r w:rsidRPr="00EA400D">
        <w:rPr>
          <w:b/>
          <w:sz w:val="24"/>
        </w:rPr>
        <w:t>in</w:t>
      </w:r>
      <w:r w:rsidRPr="00EA400D">
        <w:rPr>
          <w:b/>
          <w:spacing w:val="-1"/>
          <w:sz w:val="24"/>
        </w:rPr>
        <w:t xml:space="preserve"> </w:t>
      </w:r>
      <w:r w:rsidRPr="00EA400D">
        <w:rPr>
          <w:b/>
          <w:sz w:val="24"/>
        </w:rPr>
        <w:t>this</w:t>
      </w:r>
      <w:r w:rsidRPr="00EA400D">
        <w:rPr>
          <w:b/>
          <w:spacing w:val="-2"/>
          <w:sz w:val="24"/>
        </w:rPr>
        <w:t xml:space="preserve"> </w:t>
      </w:r>
      <w:r w:rsidRPr="00EA400D">
        <w:rPr>
          <w:b/>
          <w:sz w:val="24"/>
        </w:rPr>
        <w:t>regard</w:t>
      </w:r>
      <w:r w:rsidRPr="00EA400D">
        <w:rPr>
          <w:sz w:val="24"/>
        </w:rPr>
        <w:t>.</w:t>
      </w:r>
    </w:p>
    <w:p w14:paraId="3DD157E7" w14:textId="054C7869" w:rsidR="00EA400D" w:rsidRDefault="00EA400D" w:rsidP="00EA400D">
      <w:pPr>
        <w:tabs>
          <w:tab w:val="left" w:pos="1660"/>
          <w:tab w:val="left" w:pos="1661"/>
        </w:tabs>
        <w:spacing w:before="213" w:line="360" w:lineRule="auto"/>
        <w:ind w:left="993" w:right="144"/>
        <w:jc w:val="both"/>
      </w:pPr>
      <w:r w:rsidRPr="00EA400D">
        <w:rPr>
          <w:sz w:val="24"/>
        </w:rPr>
        <w:t>It is submitted that Hon’ble Commission has pronounced the open access</w:t>
      </w:r>
      <w:r w:rsidRPr="00EA400D">
        <w:rPr>
          <w:spacing w:val="1"/>
          <w:sz w:val="24"/>
        </w:rPr>
        <w:t xml:space="preserve"> </w:t>
      </w:r>
      <w:r w:rsidRPr="00EA400D">
        <w:rPr>
          <w:sz w:val="24"/>
        </w:rPr>
        <w:t>charges</w:t>
      </w:r>
      <w:r w:rsidRPr="00EA400D">
        <w:rPr>
          <w:spacing w:val="1"/>
          <w:sz w:val="24"/>
        </w:rPr>
        <w:t xml:space="preserve"> </w:t>
      </w:r>
      <w:r w:rsidRPr="00EA400D">
        <w:rPr>
          <w:sz w:val="24"/>
        </w:rPr>
        <w:t>applicable</w:t>
      </w:r>
      <w:r w:rsidRPr="00EA400D">
        <w:rPr>
          <w:spacing w:val="1"/>
          <w:sz w:val="24"/>
        </w:rPr>
        <w:t xml:space="preserve"> </w:t>
      </w:r>
      <w:r w:rsidRPr="00EA400D">
        <w:rPr>
          <w:sz w:val="24"/>
        </w:rPr>
        <w:t>from</w:t>
      </w:r>
      <w:r w:rsidRPr="00EA400D">
        <w:rPr>
          <w:spacing w:val="1"/>
          <w:sz w:val="24"/>
        </w:rPr>
        <w:t xml:space="preserve"> </w:t>
      </w:r>
      <w:r w:rsidRPr="00EA400D">
        <w:rPr>
          <w:sz w:val="24"/>
        </w:rPr>
        <w:t>0</w:t>
      </w:r>
      <w:r w:rsidR="004E01A1">
        <w:rPr>
          <w:sz w:val="24"/>
        </w:rPr>
        <w:t>1</w:t>
      </w:r>
      <w:r w:rsidRPr="00EA400D">
        <w:rPr>
          <w:sz w:val="24"/>
        </w:rPr>
        <w:t>.04.202</w:t>
      </w:r>
      <w:r w:rsidR="00637383">
        <w:rPr>
          <w:sz w:val="24"/>
        </w:rPr>
        <w:t>3</w:t>
      </w:r>
      <w:r w:rsidRPr="00EA400D">
        <w:rPr>
          <w:spacing w:val="1"/>
          <w:sz w:val="24"/>
        </w:rPr>
        <w:t xml:space="preserve"> </w:t>
      </w:r>
      <w:r w:rsidRPr="00EA400D">
        <w:rPr>
          <w:sz w:val="24"/>
        </w:rPr>
        <w:t>vide</w:t>
      </w:r>
      <w:r w:rsidRPr="00EA400D">
        <w:rPr>
          <w:spacing w:val="1"/>
          <w:sz w:val="24"/>
        </w:rPr>
        <w:t xml:space="preserve"> </w:t>
      </w:r>
      <w:r w:rsidRPr="00EA400D">
        <w:rPr>
          <w:sz w:val="24"/>
        </w:rPr>
        <w:t>order</w:t>
      </w:r>
      <w:r w:rsidRPr="00EA400D">
        <w:rPr>
          <w:spacing w:val="1"/>
          <w:sz w:val="24"/>
        </w:rPr>
        <w:t xml:space="preserve"> </w:t>
      </w:r>
      <w:r w:rsidRPr="00EA400D">
        <w:rPr>
          <w:sz w:val="24"/>
        </w:rPr>
        <w:t>dated</w:t>
      </w:r>
      <w:r w:rsidRPr="00EA400D">
        <w:rPr>
          <w:spacing w:val="1"/>
          <w:sz w:val="24"/>
        </w:rPr>
        <w:t xml:space="preserve"> </w:t>
      </w:r>
      <w:r w:rsidR="004E01A1">
        <w:rPr>
          <w:sz w:val="24"/>
        </w:rPr>
        <w:t>2</w:t>
      </w:r>
      <w:r w:rsidR="00D83393">
        <w:rPr>
          <w:sz w:val="24"/>
        </w:rPr>
        <w:t>3</w:t>
      </w:r>
      <w:r w:rsidRPr="00EA400D">
        <w:rPr>
          <w:sz w:val="24"/>
        </w:rPr>
        <w:t>.03.202</w:t>
      </w:r>
      <w:r w:rsidR="00D83393">
        <w:rPr>
          <w:sz w:val="24"/>
        </w:rPr>
        <w:t>3</w:t>
      </w:r>
      <w:r w:rsidRPr="00EA400D">
        <w:rPr>
          <w:spacing w:val="1"/>
          <w:sz w:val="24"/>
        </w:rPr>
        <w:t xml:space="preserve"> </w:t>
      </w:r>
      <w:r w:rsidRPr="00EA400D">
        <w:rPr>
          <w:sz w:val="24"/>
        </w:rPr>
        <w:t>in</w:t>
      </w:r>
      <w:r w:rsidRPr="00EA400D">
        <w:rPr>
          <w:spacing w:val="1"/>
          <w:sz w:val="24"/>
        </w:rPr>
        <w:t xml:space="preserve"> </w:t>
      </w:r>
      <w:r w:rsidRPr="00EA400D">
        <w:rPr>
          <w:sz w:val="24"/>
        </w:rPr>
        <w:t>case</w:t>
      </w:r>
      <w:r w:rsidRPr="00EA400D">
        <w:rPr>
          <w:spacing w:val="1"/>
          <w:sz w:val="24"/>
        </w:rPr>
        <w:t xml:space="preserve"> </w:t>
      </w:r>
      <w:r w:rsidRPr="00EA400D">
        <w:rPr>
          <w:sz w:val="24"/>
        </w:rPr>
        <w:t>no.</w:t>
      </w:r>
      <w:r w:rsidR="00D05D8F" w:rsidRPr="00D05D8F">
        <w:t xml:space="preserve"> </w:t>
      </w:r>
      <w:r w:rsidR="00D05D8F" w:rsidRPr="00D05D8F">
        <w:rPr>
          <w:sz w:val="24"/>
        </w:rPr>
        <w:t>82, 83, 88 &amp; 80 of 2022</w:t>
      </w:r>
      <w:r w:rsidRPr="00EA400D">
        <w:rPr>
          <w:sz w:val="24"/>
        </w:rPr>
        <w:t>.</w:t>
      </w:r>
    </w:p>
    <w:p w14:paraId="04340C9C" w14:textId="1FBCC569" w:rsidR="00EA400D" w:rsidRPr="001F7505" w:rsidRDefault="00EA400D" w:rsidP="00EA400D">
      <w:pPr>
        <w:tabs>
          <w:tab w:val="left" w:pos="1660"/>
          <w:tab w:val="left" w:pos="1661"/>
        </w:tabs>
        <w:spacing w:before="213" w:line="360" w:lineRule="auto"/>
        <w:ind w:left="993" w:right="144"/>
        <w:jc w:val="both"/>
      </w:pPr>
      <w:r w:rsidRPr="001F7505">
        <w:rPr>
          <w:sz w:val="24"/>
        </w:rPr>
        <w:t>The wheeling charges and surcharge as applicable for HT &amp; EHT industries</w:t>
      </w:r>
      <w:r w:rsidRPr="001F7505">
        <w:rPr>
          <w:spacing w:val="1"/>
          <w:sz w:val="24"/>
        </w:rPr>
        <w:t xml:space="preserve"> </w:t>
      </w:r>
      <w:r w:rsidRPr="001F7505">
        <w:rPr>
          <w:sz w:val="24"/>
        </w:rPr>
        <w:t>for</w:t>
      </w:r>
      <w:r w:rsidRPr="001F7505">
        <w:rPr>
          <w:spacing w:val="1"/>
          <w:sz w:val="24"/>
        </w:rPr>
        <w:t xml:space="preserve"> </w:t>
      </w:r>
      <w:r w:rsidRPr="001F7505">
        <w:rPr>
          <w:sz w:val="24"/>
        </w:rPr>
        <w:t xml:space="preserve">TPWODL effective </w:t>
      </w:r>
      <w:r w:rsidR="00094A78" w:rsidRPr="001F7505">
        <w:rPr>
          <w:sz w:val="24"/>
        </w:rPr>
        <w:t>from 01.04.2022</w:t>
      </w:r>
      <w:r w:rsidR="004E01A1" w:rsidRPr="001F7505">
        <w:rPr>
          <w:sz w:val="24"/>
        </w:rPr>
        <w:t xml:space="preserve"> </w:t>
      </w:r>
      <w:r w:rsidR="00094A78" w:rsidRPr="001F7505">
        <w:rPr>
          <w:sz w:val="24"/>
        </w:rPr>
        <w:t xml:space="preserve">are </w:t>
      </w:r>
      <w:proofErr w:type="gramStart"/>
      <w:r w:rsidR="00094A78" w:rsidRPr="001F7505">
        <w:rPr>
          <w:spacing w:val="-50"/>
          <w:sz w:val="24"/>
        </w:rPr>
        <w:t>as</w:t>
      </w:r>
      <w:r w:rsidRPr="001F7505">
        <w:rPr>
          <w:spacing w:val="-2"/>
          <w:sz w:val="24"/>
        </w:rPr>
        <w:t xml:space="preserve"> </w:t>
      </w:r>
      <w:r w:rsidR="000D7B80" w:rsidRPr="001F7505">
        <w:rPr>
          <w:spacing w:val="-2"/>
          <w:sz w:val="24"/>
        </w:rPr>
        <w:t xml:space="preserve"> </w:t>
      </w:r>
      <w:r w:rsidR="00094A78" w:rsidRPr="001F7505">
        <w:rPr>
          <w:sz w:val="24"/>
        </w:rPr>
        <w:t>follows</w:t>
      </w:r>
      <w:proofErr w:type="gramEnd"/>
      <w:r w:rsidR="00094A78" w:rsidRPr="001F7505">
        <w:rPr>
          <w:sz w:val="24"/>
        </w:rPr>
        <w:t>: -</w:t>
      </w:r>
    </w:p>
    <w:p w14:paraId="5BD47744" w14:textId="77777777" w:rsidR="00EA400D" w:rsidRPr="001F7505" w:rsidRDefault="00EA400D" w:rsidP="00EA400D">
      <w:pPr>
        <w:pStyle w:val="Heading1"/>
        <w:spacing w:before="121" w:line="281" w:lineRule="exact"/>
        <w:ind w:left="1660"/>
        <w:jc w:val="left"/>
        <w:rPr>
          <w:b w:val="0"/>
        </w:rPr>
      </w:pPr>
      <w:r w:rsidRPr="001F7505">
        <w:t>For</w:t>
      </w:r>
      <w:r w:rsidRPr="001F7505">
        <w:rPr>
          <w:spacing w:val="-3"/>
        </w:rPr>
        <w:t xml:space="preserve"> </w:t>
      </w:r>
      <w:r w:rsidRPr="001F7505">
        <w:t>HT</w:t>
      </w:r>
      <w:r w:rsidRPr="001F7505">
        <w:rPr>
          <w:spacing w:val="-3"/>
        </w:rPr>
        <w:t xml:space="preserve"> </w:t>
      </w:r>
      <w:proofErr w:type="gramStart"/>
      <w:r w:rsidRPr="001F7505">
        <w:t>Industries</w:t>
      </w:r>
      <w:r w:rsidRPr="001F7505">
        <w:rPr>
          <w:b w:val="0"/>
        </w:rPr>
        <w:t>:-</w:t>
      </w:r>
      <w:proofErr w:type="gramEnd"/>
    </w:p>
    <w:p w14:paraId="00F04732" w14:textId="3C99F2E0" w:rsidR="00EA400D" w:rsidRPr="001F7505" w:rsidRDefault="00EA400D" w:rsidP="00EA400D">
      <w:pPr>
        <w:pStyle w:val="BodyText"/>
        <w:spacing w:line="281" w:lineRule="exact"/>
        <w:ind w:left="1660"/>
      </w:pPr>
      <w:r w:rsidRPr="001F7505">
        <w:t>Wheeling</w:t>
      </w:r>
      <w:r w:rsidRPr="001F7505">
        <w:rPr>
          <w:spacing w:val="-3"/>
        </w:rPr>
        <w:t xml:space="preserve"> </w:t>
      </w:r>
      <w:r w:rsidRPr="001F7505">
        <w:t>charges</w:t>
      </w:r>
      <w:r w:rsidRPr="001F7505">
        <w:rPr>
          <w:spacing w:val="-2"/>
        </w:rPr>
        <w:t xml:space="preserve"> </w:t>
      </w:r>
      <w:r w:rsidRPr="001F7505">
        <w:t>=</w:t>
      </w:r>
      <w:r w:rsidR="00DE0E0B" w:rsidRPr="001F7505">
        <w:t>95</w:t>
      </w:r>
      <w:r w:rsidR="00491DF1" w:rsidRPr="001F7505">
        <w:t>.</w:t>
      </w:r>
      <w:r w:rsidR="00DE0E0B" w:rsidRPr="001F7505">
        <w:t>53</w:t>
      </w:r>
      <w:r w:rsidRPr="001F7505">
        <w:rPr>
          <w:spacing w:val="-2"/>
        </w:rPr>
        <w:t xml:space="preserve"> </w:t>
      </w:r>
      <w:r w:rsidRPr="001F7505">
        <w:t>paise</w:t>
      </w:r>
      <w:r w:rsidRPr="001F7505">
        <w:rPr>
          <w:spacing w:val="-2"/>
        </w:rPr>
        <w:t xml:space="preserve"> </w:t>
      </w:r>
      <w:r w:rsidRPr="001F7505">
        <w:t>per</w:t>
      </w:r>
      <w:r w:rsidRPr="001F7505">
        <w:rPr>
          <w:spacing w:val="-1"/>
        </w:rPr>
        <w:t xml:space="preserve"> </w:t>
      </w:r>
      <w:r w:rsidRPr="001F7505">
        <w:t>unit</w:t>
      </w:r>
      <w:r w:rsidR="00491DF1" w:rsidRPr="001F7505">
        <w:t>.</w:t>
      </w:r>
    </w:p>
    <w:p w14:paraId="1CE7F453" w14:textId="6DA81948" w:rsidR="00EA400D" w:rsidRPr="001F7505" w:rsidRDefault="00EA400D" w:rsidP="00EA400D">
      <w:pPr>
        <w:pStyle w:val="BodyText"/>
        <w:spacing w:line="281" w:lineRule="exact"/>
        <w:ind w:left="1660"/>
      </w:pPr>
      <w:r w:rsidRPr="001F7505">
        <w:t>Cross</w:t>
      </w:r>
      <w:r w:rsidRPr="001F7505">
        <w:rPr>
          <w:spacing w:val="-2"/>
        </w:rPr>
        <w:t xml:space="preserve"> </w:t>
      </w:r>
      <w:r w:rsidRPr="001F7505">
        <w:t>Subsidy</w:t>
      </w:r>
      <w:r w:rsidRPr="001F7505">
        <w:rPr>
          <w:spacing w:val="-3"/>
        </w:rPr>
        <w:t xml:space="preserve"> </w:t>
      </w:r>
      <w:r w:rsidRPr="001F7505">
        <w:t>Surcharge=</w:t>
      </w:r>
      <w:r w:rsidR="00473062" w:rsidRPr="001F7505">
        <w:t>2</w:t>
      </w:r>
      <w:r w:rsidR="00491DF1" w:rsidRPr="001F7505">
        <w:t>3.</w:t>
      </w:r>
      <w:r w:rsidR="00473062" w:rsidRPr="001F7505">
        <w:t>35</w:t>
      </w:r>
      <w:r w:rsidRPr="001F7505">
        <w:rPr>
          <w:spacing w:val="-3"/>
        </w:rPr>
        <w:t xml:space="preserve"> </w:t>
      </w:r>
      <w:r w:rsidRPr="001F7505">
        <w:t>paise</w:t>
      </w:r>
      <w:r w:rsidRPr="001F7505">
        <w:rPr>
          <w:spacing w:val="-2"/>
        </w:rPr>
        <w:t xml:space="preserve"> </w:t>
      </w:r>
      <w:r w:rsidRPr="001F7505">
        <w:t>per</w:t>
      </w:r>
      <w:r w:rsidRPr="001F7505">
        <w:rPr>
          <w:spacing w:val="-2"/>
        </w:rPr>
        <w:t xml:space="preserve"> </w:t>
      </w:r>
      <w:r w:rsidRPr="001F7505">
        <w:t>unit.</w:t>
      </w:r>
    </w:p>
    <w:p w14:paraId="0994DF9C" w14:textId="77777777" w:rsidR="00EA400D" w:rsidRPr="001F7505" w:rsidRDefault="00EA400D" w:rsidP="00EA400D">
      <w:pPr>
        <w:pStyle w:val="BodyText"/>
        <w:spacing w:before="1"/>
      </w:pPr>
    </w:p>
    <w:p w14:paraId="2F531F47" w14:textId="77777777" w:rsidR="00EA400D" w:rsidRPr="001F7505" w:rsidRDefault="00EA400D" w:rsidP="00EA400D">
      <w:pPr>
        <w:pStyle w:val="Heading1"/>
        <w:ind w:left="1660"/>
        <w:jc w:val="left"/>
        <w:rPr>
          <w:b w:val="0"/>
        </w:rPr>
      </w:pPr>
      <w:r w:rsidRPr="001F7505">
        <w:t>For</w:t>
      </w:r>
      <w:r w:rsidRPr="001F7505">
        <w:rPr>
          <w:spacing w:val="-3"/>
        </w:rPr>
        <w:t xml:space="preserve"> </w:t>
      </w:r>
      <w:r w:rsidRPr="001F7505">
        <w:t>EHT</w:t>
      </w:r>
      <w:r w:rsidRPr="001F7505">
        <w:rPr>
          <w:spacing w:val="-1"/>
        </w:rPr>
        <w:t xml:space="preserve"> </w:t>
      </w:r>
      <w:proofErr w:type="gramStart"/>
      <w:r w:rsidRPr="001F7505">
        <w:t>Industries</w:t>
      </w:r>
      <w:r w:rsidRPr="001F7505">
        <w:rPr>
          <w:b w:val="0"/>
        </w:rPr>
        <w:t>:-</w:t>
      </w:r>
      <w:proofErr w:type="gramEnd"/>
    </w:p>
    <w:p w14:paraId="1D5531F6" w14:textId="4E5F5448" w:rsidR="00EA400D" w:rsidRDefault="00EA400D" w:rsidP="00EA400D">
      <w:pPr>
        <w:pStyle w:val="BodyText"/>
        <w:spacing w:before="100"/>
        <w:ind w:left="1660"/>
      </w:pPr>
      <w:r w:rsidRPr="001F7505">
        <w:t>Cross</w:t>
      </w:r>
      <w:r w:rsidRPr="001F7505">
        <w:rPr>
          <w:spacing w:val="-2"/>
        </w:rPr>
        <w:t xml:space="preserve"> </w:t>
      </w:r>
      <w:r w:rsidRPr="001F7505">
        <w:t>Subsidy</w:t>
      </w:r>
      <w:r w:rsidRPr="001F7505">
        <w:rPr>
          <w:spacing w:val="-3"/>
        </w:rPr>
        <w:t xml:space="preserve"> </w:t>
      </w:r>
      <w:r w:rsidRPr="001F7505">
        <w:t>Surcharge=</w:t>
      </w:r>
      <w:r w:rsidR="00491DF1" w:rsidRPr="001F7505">
        <w:t>1</w:t>
      </w:r>
      <w:r w:rsidR="00A97E14" w:rsidRPr="001F7505">
        <w:t>10</w:t>
      </w:r>
      <w:r w:rsidR="00491DF1" w:rsidRPr="001F7505">
        <w:t>.</w:t>
      </w:r>
      <w:r w:rsidR="00A97E14" w:rsidRPr="001F7505">
        <w:t>53</w:t>
      </w:r>
      <w:r w:rsidRPr="001F7505">
        <w:rPr>
          <w:spacing w:val="-3"/>
        </w:rPr>
        <w:t xml:space="preserve"> </w:t>
      </w:r>
      <w:r w:rsidRPr="001F7505">
        <w:t>paise</w:t>
      </w:r>
      <w:r w:rsidRPr="001F7505">
        <w:rPr>
          <w:spacing w:val="-2"/>
        </w:rPr>
        <w:t xml:space="preserve"> </w:t>
      </w:r>
      <w:r w:rsidRPr="001F7505">
        <w:t>per</w:t>
      </w:r>
      <w:r w:rsidRPr="001F7505">
        <w:rPr>
          <w:spacing w:val="-2"/>
        </w:rPr>
        <w:t xml:space="preserve"> </w:t>
      </w:r>
      <w:r w:rsidRPr="001F7505">
        <w:t>unit.</w:t>
      </w:r>
    </w:p>
    <w:p w14:paraId="686A6316" w14:textId="77777777" w:rsidR="00EA400D" w:rsidRDefault="00EA400D" w:rsidP="00EA400D">
      <w:pPr>
        <w:pStyle w:val="BodyText"/>
        <w:rPr>
          <w:sz w:val="28"/>
        </w:rPr>
      </w:pPr>
    </w:p>
    <w:p w14:paraId="54683016" w14:textId="77777777" w:rsidR="00EA400D" w:rsidRDefault="00EA400D" w:rsidP="00EA400D">
      <w:pPr>
        <w:pStyle w:val="BodyText"/>
        <w:spacing w:before="3"/>
        <w:rPr>
          <w:sz w:val="30"/>
        </w:rPr>
      </w:pPr>
    </w:p>
    <w:p w14:paraId="7BD2494B" w14:textId="77777777" w:rsidR="00EA400D" w:rsidRDefault="00EA400D" w:rsidP="00EA400D">
      <w:pPr>
        <w:spacing w:before="1" w:line="360" w:lineRule="auto"/>
        <w:ind w:left="993" w:right="146"/>
        <w:jc w:val="both"/>
        <w:rPr>
          <w:sz w:val="24"/>
        </w:rPr>
      </w:pPr>
      <w:r w:rsidRPr="00EA400D">
        <w:rPr>
          <w:sz w:val="24"/>
        </w:rPr>
        <w:t>It is submitted that the open access to existing consumer should be allowed</w:t>
      </w:r>
      <w:r w:rsidRPr="00EA400D">
        <w:rPr>
          <w:spacing w:val="1"/>
          <w:sz w:val="24"/>
        </w:rPr>
        <w:t xml:space="preserve"> </w:t>
      </w:r>
      <w:r w:rsidRPr="00EA400D">
        <w:rPr>
          <w:sz w:val="24"/>
        </w:rPr>
        <w:t>within limited Transmission</w:t>
      </w:r>
      <w:r w:rsidRPr="00EA400D">
        <w:rPr>
          <w:spacing w:val="1"/>
          <w:sz w:val="24"/>
        </w:rPr>
        <w:t xml:space="preserve"> </w:t>
      </w:r>
      <w:r w:rsidRPr="00EA400D">
        <w:rPr>
          <w:sz w:val="24"/>
        </w:rPr>
        <w:t>/ Distribution capacity.</w:t>
      </w:r>
      <w:r w:rsidRPr="00EA400D">
        <w:rPr>
          <w:spacing w:val="52"/>
          <w:sz w:val="24"/>
        </w:rPr>
        <w:t xml:space="preserve"> </w:t>
      </w:r>
      <w:r w:rsidRPr="00EA400D">
        <w:rPr>
          <w:sz w:val="24"/>
        </w:rPr>
        <w:t>A limit should be fixed</w:t>
      </w:r>
      <w:r w:rsidRPr="00EA400D">
        <w:rPr>
          <w:spacing w:val="1"/>
          <w:sz w:val="24"/>
        </w:rPr>
        <w:t xml:space="preserve"> </w:t>
      </w:r>
      <w:r w:rsidRPr="00EA400D">
        <w:rPr>
          <w:sz w:val="24"/>
        </w:rPr>
        <w:t>by</w:t>
      </w:r>
      <w:r w:rsidRPr="00EA400D">
        <w:rPr>
          <w:spacing w:val="14"/>
          <w:sz w:val="24"/>
        </w:rPr>
        <w:t xml:space="preserve"> </w:t>
      </w:r>
      <w:r w:rsidRPr="00EA400D">
        <w:rPr>
          <w:sz w:val="24"/>
        </w:rPr>
        <w:t>the</w:t>
      </w:r>
      <w:r w:rsidRPr="00EA400D">
        <w:rPr>
          <w:spacing w:val="16"/>
          <w:sz w:val="24"/>
        </w:rPr>
        <w:t xml:space="preserve"> </w:t>
      </w:r>
      <w:r w:rsidRPr="00EA400D">
        <w:rPr>
          <w:sz w:val="24"/>
        </w:rPr>
        <w:t>Hon’ble</w:t>
      </w:r>
      <w:r w:rsidRPr="00EA400D">
        <w:rPr>
          <w:spacing w:val="15"/>
          <w:sz w:val="24"/>
        </w:rPr>
        <w:t xml:space="preserve"> </w:t>
      </w:r>
      <w:r w:rsidRPr="00EA400D">
        <w:rPr>
          <w:sz w:val="24"/>
        </w:rPr>
        <w:t>commission</w:t>
      </w:r>
      <w:r w:rsidRPr="00EA400D">
        <w:rPr>
          <w:spacing w:val="17"/>
          <w:sz w:val="24"/>
        </w:rPr>
        <w:t xml:space="preserve"> </w:t>
      </w:r>
      <w:r w:rsidRPr="00EA400D">
        <w:rPr>
          <w:sz w:val="24"/>
        </w:rPr>
        <w:t>so</w:t>
      </w:r>
      <w:r w:rsidRPr="00EA400D">
        <w:rPr>
          <w:spacing w:val="16"/>
          <w:sz w:val="24"/>
        </w:rPr>
        <w:t xml:space="preserve"> </w:t>
      </w:r>
      <w:r w:rsidRPr="00EA400D">
        <w:rPr>
          <w:sz w:val="24"/>
        </w:rPr>
        <w:t>that</w:t>
      </w:r>
      <w:r w:rsidRPr="00EA400D">
        <w:rPr>
          <w:spacing w:val="16"/>
          <w:sz w:val="24"/>
        </w:rPr>
        <w:t xml:space="preserve"> </w:t>
      </w:r>
      <w:r w:rsidRPr="00EA400D">
        <w:rPr>
          <w:sz w:val="24"/>
        </w:rPr>
        <w:t>the</w:t>
      </w:r>
      <w:r w:rsidRPr="00EA400D">
        <w:rPr>
          <w:spacing w:val="16"/>
          <w:sz w:val="24"/>
        </w:rPr>
        <w:t xml:space="preserve"> </w:t>
      </w:r>
      <w:r w:rsidRPr="00EA400D">
        <w:rPr>
          <w:sz w:val="24"/>
        </w:rPr>
        <w:t>distribution</w:t>
      </w:r>
      <w:r w:rsidRPr="00EA400D">
        <w:rPr>
          <w:spacing w:val="16"/>
          <w:sz w:val="24"/>
        </w:rPr>
        <w:t xml:space="preserve"> </w:t>
      </w:r>
      <w:r w:rsidRPr="00EA400D">
        <w:rPr>
          <w:sz w:val="24"/>
        </w:rPr>
        <w:t>licensee</w:t>
      </w:r>
      <w:r w:rsidRPr="00EA400D">
        <w:rPr>
          <w:spacing w:val="17"/>
          <w:sz w:val="24"/>
        </w:rPr>
        <w:t xml:space="preserve"> </w:t>
      </w:r>
      <w:r w:rsidRPr="00EA400D">
        <w:rPr>
          <w:sz w:val="24"/>
        </w:rPr>
        <w:t>may</w:t>
      </w:r>
      <w:r w:rsidRPr="00EA400D">
        <w:rPr>
          <w:spacing w:val="14"/>
          <w:sz w:val="24"/>
        </w:rPr>
        <w:t xml:space="preserve"> </w:t>
      </w:r>
      <w:r w:rsidRPr="00EA400D">
        <w:rPr>
          <w:sz w:val="24"/>
        </w:rPr>
        <w:t>be</w:t>
      </w:r>
      <w:r w:rsidRPr="00EA400D">
        <w:rPr>
          <w:spacing w:val="14"/>
          <w:sz w:val="24"/>
        </w:rPr>
        <w:t xml:space="preserve"> </w:t>
      </w:r>
      <w:r w:rsidRPr="00EA400D">
        <w:rPr>
          <w:sz w:val="24"/>
        </w:rPr>
        <w:t>allowed</w:t>
      </w:r>
      <w:r w:rsidRPr="00EA400D">
        <w:rPr>
          <w:spacing w:val="-50"/>
          <w:sz w:val="24"/>
        </w:rPr>
        <w:t xml:space="preserve"> </w:t>
      </w:r>
      <w:r w:rsidRPr="00EA400D">
        <w:rPr>
          <w:sz w:val="24"/>
        </w:rPr>
        <w:t xml:space="preserve">to reserve adequate transmission/ Distribution corridor for new </w:t>
      </w:r>
      <w:proofErr w:type="gramStart"/>
      <w:r w:rsidRPr="00EA400D">
        <w:rPr>
          <w:sz w:val="24"/>
        </w:rPr>
        <w:t>consumer</w:t>
      </w:r>
      <w:proofErr w:type="gramEnd"/>
      <w:r w:rsidRPr="00EA400D">
        <w:rPr>
          <w:sz w:val="24"/>
        </w:rPr>
        <w:t>,</w:t>
      </w:r>
      <w:r w:rsidRPr="00EA400D">
        <w:rPr>
          <w:spacing w:val="1"/>
          <w:sz w:val="24"/>
        </w:rPr>
        <w:t xml:space="preserve"> </w:t>
      </w:r>
      <w:r w:rsidRPr="00EA400D">
        <w:rPr>
          <w:sz w:val="24"/>
        </w:rPr>
        <w:t>to</w:t>
      </w:r>
      <w:r w:rsidRPr="00EA400D">
        <w:rPr>
          <w:spacing w:val="-2"/>
          <w:sz w:val="24"/>
        </w:rPr>
        <w:t xml:space="preserve"> </w:t>
      </w:r>
      <w:proofErr w:type="gramStart"/>
      <w:r w:rsidRPr="00EA400D">
        <w:rPr>
          <w:sz w:val="24"/>
        </w:rPr>
        <w:t>safe guard</w:t>
      </w:r>
      <w:proofErr w:type="gramEnd"/>
      <w:r w:rsidRPr="00EA400D">
        <w:rPr>
          <w:spacing w:val="-1"/>
          <w:sz w:val="24"/>
        </w:rPr>
        <w:t xml:space="preserve"> </w:t>
      </w:r>
      <w:r w:rsidRPr="00EA400D">
        <w:rPr>
          <w:sz w:val="24"/>
        </w:rPr>
        <w:t>the interest</w:t>
      </w:r>
      <w:r w:rsidRPr="00EA400D">
        <w:rPr>
          <w:spacing w:val="-1"/>
          <w:sz w:val="24"/>
        </w:rPr>
        <w:t xml:space="preserve"> </w:t>
      </w:r>
      <w:r w:rsidRPr="00EA400D">
        <w:rPr>
          <w:sz w:val="24"/>
        </w:rPr>
        <w:t>of the</w:t>
      </w:r>
      <w:r w:rsidRPr="00EA400D">
        <w:rPr>
          <w:spacing w:val="-1"/>
          <w:sz w:val="24"/>
        </w:rPr>
        <w:t xml:space="preserve"> </w:t>
      </w:r>
      <w:r w:rsidRPr="00EA400D">
        <w:rPr>
          <w:sz w:val="24"/>
        </w:rPr>
        <w:t>new</w:t>
      </w:r>
      <w:r w:rsidRPr="00EA400D">
        <w:rPr>
          <w:spacing w:val="-3"/>
          <w:sz w:val="24"/>
        </w:rPr>
        <w:t xml:space="preserve"> </w:t>
      </w:r>
      <w:r w:rsidRPr="00EA400D">
        <w:rPr>
          <w:sz w:val="24"/>
        </w:rPr>
        <w:t>consumers in</w:t>
      </w:r>
      <w:r w:rsidRPr="00EA400D">
        <w:rPr>
          <w:spacing w:val="-1"/>
          <w:sz w:val="24"/>
        </w:rPr>
        <w:t xml:space="preserve"> </w:t>
      </w:r>
      <w:r w:rsidRPr="00EA400D">
        <w:rPr>
          <w:sz w:val="24"/>
        </w:rPr>
        <w:t>the</w:t>
      </w:r>
      <w:r w:rsidRPr="00EA400D">
        <w:rPr>
          <w:spacing w:val="-1"/>
          <w:sz w:val="24"/>
        </w:rPr>
        <w:t xml:space="preserve"> </w:t>
      </w:r>
      <w:r w:rsidRPr="00EA400D">
        <w:rPr>
          <w:sz w:val="24"/>
        </w:rPr>
        <w:t>state.</w:t>
      </w:r>
    </w:p>
    <w:p w14:paraId="43D32B0F" w14:textId="4A9F58CE" w:rsidR="00EA400D" w:rsidRDefault="00EA400D" w:rsidP="00EA400D">
      <w:pPr>
        <w:spacing w:before="1" w:line="360" w:lineRule="auto"/>
        <w:ind w:left="993" w:right="146"/>
        <w:jc w:val="both"/>
        <w:rPr>
          <w:sz w:val="24"/>
        </w:rPr>
      </w:pPr>
      <w:r w:rsidRPr="00EA400D">
        <w:rPr>
          <w:sz w:val="24"/>
        </w:rPr>
        <w:t>It</w:t>
      </w:r>
      <w:r w:rsidRPr="00EA400D">
        <w:rPr>
          <w:spacing w:val="1"/>
          <w:sz w:val="24"/>
        </w:rPr>
        <w:t xml:space="preserve"> </w:t>
      </w:r>
      <w:r w:rsidRPr="00EA400D">
        <w:rPr>
          <w:sz w:val="24"/>
        </w:rPr>
        <w:t>is</w:t>
      </w:r>
      <w:r w:rsidRPr="00EA400D">
        <w:rPr>
          <w:spacing w:val="1"/>
          <w:sz w:val="24"/>
        </w:rPr>
        <w:t xml:space="preserve"> </w:t>
      </w:r>
      <w:r w:rsidRPr="00EA400D">
        <w:rPr>
          <w:sz w:val="24"/>
        </w:rPr>
        <w:t>submitted</w:t>
      </w:r>
      <w:r w:rsidRPr="00EA400D">
        <w:rPr>
          <w:spacing w:val="1"/>
          <w:sz w:val="24"/>
        </w:rPr>
        <w:t xml:space="preserve"> </w:t>
      </w:r>
      <w:r w:rsidRPr="00EA400D">
        <w:rPr>
          <w:sz w:val="24"/>
        </w:rPr>
        <w:t>that</w:t>
      </w:r>
      <w:r w:rsidRPr="00EA400D">
        <w:rPr>
          <w:spacing w:val="1"/>
          <w:sz w:val="24"/>
        </w:rPr>
        <w:t xml:space="preserve"> </w:t>
      </w:r>
      <w:r w:rsidRPr="00EA400D">
        <w:rPr>
          <w:sz w:val="24"/>
        </w:rPr>
        <w:t>the</w:t>
      </w:r>
      <w:r w:rsidRPr="00EA400D">
        <w:rPr>
          <w:spacing w:val="1"/>
          <w:sz w:val="24"/>
        </w:rPr>
        <w:t xml:space="preserve"> </w:t>
      </w:r>
      <w:r w:rsidRPr="00EA400D">
        <w:rPr>
          <w:sz w:val="24"/>
        </w:rPr>
        <w:t>industries</w:t>
      </w:r>
      <w:r w:rsidRPr="00EA400D">
        <w:rPr>
          <w:spacing w:val="1"/>
          <w:sz w:val="24"/>
        </w:rPr>
        <w:t xml:space="preserve"> </w:t>
      </w:r>
      <w:r w:rsidRPr="00EA400D">
        <w:rPr>
          <w:sz w:val="24"/>
        </w:rPr>
        <w:t>opting</w:t>
      </w:r>
      <w:r w:rsidRPr="00EA400D">
        <w:rPr>
          <w:spacing w:val="1"/>
          <w:sz w:val="24"/>
        </w:rPr>
        <w:t xml:space="preserve"> </w:t>
      </w:r>
      <w:r w:rsidRPr="00EA400D">
        <w:rPr>
          <w:sz w:val="24"/>
        </w:rPr>
        <w:t>for</w:t>
      </w:r>
      <w:r w:rsidRPr="00EA400D">
        <w:rPr>
          <w:spacing w:val="1"/>
          <w:sz w:val="24"/>
        </w:rPr>
        <w:t xml:space="preserve"> </w:t>
      </w:r>
      <w:r w:rsidRPr="00EA400D">
        <w:rPr>
          <w:sz w:val="24"/>
        </w:rPr>
        <w:t>open</w:t>
      </w:r>
      <w:r w:rsidRPr="00EA400D">
        <w:rPr>
          <w:spacing w:val="1"/>
          <w:sz w:val="24"/>
        </w:rPr>
        <w:t xml:space="preserve"> </w:t>
      </w:r>
      <w:r w:rsidRPr="00EA400D">
        <w:rPr>
          <w:sz w:val="24"/>
        </w:rPr>
        <w:t>access</w:t>
      </w:r>
      <w:r w:rsidRPr="00EA400D">
        <w:rPr>
          <w:spacing w:val="1"/>
          <w:sz w:val="24"/>
        </w:rPr>
        <w:t xml:space="preserve"> </w:t>
      </w:r>
      <w:r w:rsidRPr="00EA400D">
        <w:rPr>
          <w:sz w:val="24"/>
        </w:rPr>
        <w:t>may</w:t>
      </w:r>
      <w:r w:rsidRPr="00EA400D">
        <w:rPr>
          <w:spacing w:val="1"/>
          <w:sz w:val="24"/>
        </w:rPr>
        <w:t xml:space="preserve"> </w:t>
      </w:r>
      <w:r w:rsidRPr="00EA400D">
        <w:rPr>
          <w:sz w:val="24"/>
        </w:rPr>
        <w:t>also</w:t>
      </w:r>
      <w:r w:rsidRPr="00EA400D">
        <w:rPr>
          <w:spacing w:val="52"/>
          <w:sz w:val="24"/>
        </w:rPr>
        <w:t xml:space="preserve"> </w:t>
      </w:r>
      <w:r w:rsidRPr="00EA400D">
        <w:rPr>
          <w:sz w:val="24"/>
        </w:rPr>
        <w:t>be</w:t>
      </w:r>
      <w:r w:rsidRPr="00EA400D">
        <w:rPr>
          <w:spacing w:val="1"/>
          <w:sz w:val="24"/>
        </w:rPr>
        <w:t xml:space="preserve"> </w:t>
      </w:r>
      <w:r w:rsidRPr="00EA400D">
        <w:rPr>
          <w:sz w:val="24"/>
        </w:rPr>
        <w:t xml:space="preserve">required </w:t>
      </w:r>
      <w:r w:rsidRPr="00EA400D">
        <w:rPr>
          <w:sz w:val="24"/>
        </w:rPr>
        <w:lastRenderedPageBreak/>
        <w:t>to provide their tentative schedule for the year in advance so that</w:t>
      </w:r>
      <w:r w:rsidRPr="00EA400D">
        <w:rPr>
          <w:spacing w:val="1"/>
          <w:sz w:val="24"/>
        </w:rPr>
        <w:t xml:space="preserve"> </w:t>
      </w:r>
      <w:r w:rsidRPr="00EA400D">
        <w:rPr>
          <w:sz w:val="24"/>
        </w:rPr>
        <w:t xml:space="preserve">the distribution licensee would schedule </w:t>
      </w:r>
      <w:proofErr w:type="gramStart"/>
      <w:r w:rsidRPr="00EA400D">
        <w:rPr>
          <w:sz w:val="24"/>
        </w:rPr>
        <w:t>it’s</w:t>
      </w:r>
      <w:proofErr w:type="gramEnd"/>
      <w:r w:rsidRPr="00EA400D">
        <w:rPr>
          <w:sz w:val="24"/>
        </w:rPr>
        <w:t xml:space="preserve"> intake from GRIDCO. </w:t>
      </w:r>
    </w:p>
    <w:p w14:paraId="2E70B33F" w14:textId="77777777" w:rsidR="002715D6" w:rsidRDefault="002715D6" w:rsidP="00EA400D">
      <w:pPr>
        <w:spacing w:before="1" w:line="360" w:lineRule="auto"/>
        <w:ind w:left="993" w:right="146"/>
        <w:jc w:val="both"/>
        <w:rPr>
          <w:sz w:val="24"/>
        </w:rPr>
      </w:pPr>
    </w:p>
    <w:p w14:paraId="79EC8431" w14:textId="77777777" w:rsidR="002715D6" w:rsidRDefault="002715D6" w:rsidP="002715D6">
      <w:pPr>
        <w:ind w:left="993"/>
        <w:rPr>
          <w:b/>
          <w:sz w:val="28"/>
        </w:rPr>
      </w:pPr>
      <w:r>
        <w:rPr>
          <w:b/>
          <w:sz w:val="28"/>
        </w:rPr>
        <w:t>Development of Solar Project under RESCO mode within the premises of Industrial Consumers.</w:t>
      </w:r>
    </w:p>
    <w:p w14:paraId="0198421E" w14:textId="77777777" w:rsidR="002715D6" w:rsidRDefault="002715D6" w:rsidP="002715D6">
      <w:pPr>
        <w:rPr>
          <w:b/>
          <w:sz w:val="28"/>
        </w:rPr>
      </w:pPr>
    </w:p>
    <w:p w14:paraId="3D399EF8" w14:textId="5C0BB350" w:rsidR="002715D6" w:rsidRDefault="002715D6" w:rsidP="002715D6">
      <w:pPr>
        <w:spacing w:line="360" w:lineRule="auto"/>
        <w:ind w:left="993"/>
        <w:jc w:val="both"/>
        <w:rPr>
          <w:sz w:val="24"/>
          <w:szCs w:val="24"/>
        </w:rPr>
      </w:pPr>
      <w:r>
        <w:rPr>
          <w:sz w:val="24"/>
          <w:szCs w:val="24"/>
        </w:rPr>
        <w:t xml:space="preserve">The Hon’ble Commission vide letter No. </w:t>
      </w:r>
      <w:r w:rsidRPr="002715D6">
        <w:rPr>
          <w:sz w:val="24"/>
          <w:szCs w:val="24"/>
        </w:rPr>
        <w:t>OERC/DIR(T)-330/2023/1622 dated 04/11/2023</w:t>
      </w:r>
      <w:r>
        <w:rPr>
          <w:sz w:val="24"/>
          <w:szCs w:val="24"/>
        </w:rPr>
        <w:t xml:space="preserve"> has suggested for levy of CSS on solar projects developed through RESCO model as per following operational guidelines:</w:t>
      </w:r>
    </w:p>
    <w:p w14:paraId="492D252E" w14:textId="7788267E" w:rsidR="002715D6" w:rsidRPr="002715D6" w:rsidRDefault="002715D6" w:rsidP="002715D6">
      <w:pPr>
        <w:spacing w:line="360" w:lineRule="auto"/>
        <w:ind w:left="993"/>
        <w:jc w:val="both"/>
        <w:rPr>
          <w:sz w:val="24"/>
          <w:szCs w:val="24"/>
        </w:rPr>
      </w:pPr>
      <w:r w:rsidRPr="002715D6">
        <w:rPr>
          <w:sz w:val="24"/>
          <w:szCs w:val="24"/>
        </w:rPr>
        <w:t>The following operational points to be followed while implementation of Solar Projects under RESCO mode:</w:t>
      </w:r>
    </w:p>
    <w:p w14:paraId="63F83CF6" w14:textId="77777777" w:rsidR="002715D6" w:rsidRPr="002715D6" w:rsidRDefault="002715D6" w:rsidP="002715D6">
      <w:pPr>
        <w:pStyle w:val="ListParagraph"/>
        <w:widowControl/>
        <w:numPr>
          <w:ilvl w:val="0"/>
          <w:numId w:val="23"/>
        </w:numPr>
        <w:autoSpaceDE/>
        <w:autoSpaceDN/>
        <w:spacing w:after="160" w:line="360" w:lineRule="auto"/>
        <w:ind w:left="1353"/>
        <w:jc w:val="both"/>
        <w:rPr>
          <w:sz w:val="24"/>
          <w:szCs w:val="24"/>
        </w:rPr>
      </w:pPr>
      <w:r w:rsidRPr="002715D6">
        <w:rPr>
          <w:sz w:val="24"/>
          <w:szCs w:val="24"/>
        </w:rPr>
        <w:t>Cross Subsidy Surcharge is liable to be levied according to OERC (Terms and Conditions of Intra-State Open Access) Regulations, 2020 and tariff order of the respective year in view of the judgement of Hon’ble Supreme Court in Civil Appeal No. 5479 of 2013 wherein Hon’ble Court has stated as under:</w:t>
      </w:r>
    </w:p>
    <w:p w14:paraId="45479A36" w14:textId="77777777" w:rsidR="002715D6" w:rsidRPr="002715D6" w:rsidRDefault="002715D6" w:rsidP="002715D6">
      <w:pPr>
        <w:pStyle w:val="ListParagraph"/>
        <w:spacing w:line="360" w:lineRule="auto"/>
        <w:ind w:left="1353"/>
        <w:jc w:val="both"/>
        <w:rPr>
          <w:i/>
          <w:sz w:val="24"/>
          <w:szCs w:val="24"/>
        </w:rPr>
      </w:pPr>
      <w:r w:rsidRPr="002715D6">
        <w:rPr>
          <w:sz w:val="24"/>
          <w:szCs w:val="24"/>
        </w:rPr>
        <w:t>“28</w:t>
      </w:r>
      <w:r w:rsidRPr="002715D6">
        <w:rPr>
          <w:i/>
          <w:sz w:val="24"/>
          <w:szCs w:val="24"/>
        </w:rPr>
        <w:t xml:space="preserve">. Therefore, in the aforesaid circumstances though CSS is payable by the Consumer to the Distribution Licensee of the area in question when it decides not to take supply from that company but to avail it from another distribution licensee. In nutshell, </w:t>
      </w:r>
      <w:r w:rsidRPr="002715D6">
        <w:rPr>
          <w:b/>
          <w:i/>
          <w:sz w:val="24"/>
          <w:szCs w:val="24"/>
        </w:rPr>
        <w:t>CSS is a compensation to the distribution licensee irrespective of the fact whether its line is used or not</w:t>
      </w:r>
      <w:r w:rsidRPr="002715D6">
        <w:rPr>
          <w:i/>
          <w:sz w:val="24"/>
          <w:szCs w:val="24"/>
        </w:rPr>
        <w:t xml:space="preserve">, </w:t>
      </w:r>
      <w:proofErr w:type="gramStart"/>
      <w:r w:rsidRPr="002715D6">
        <w:rPr>
          <w:i/>
          <w:sz w:val="24"/>
          <w:szCs w:val="24"/>
        </w:rPr>
        <w:t>in view of the fact that</w:t>
      </w:r>
      <w:proofErr w:type="gramEnd"/>
      <w:r w:rsidRPr="002715D6">
        <w:rPr>
          <w:i/>
          <w:sz w:val="24"/>
          <w:szCs w:val="24"/>
        </w:rPr>
        <w:t>, but for the open access the consumer would pay tariff applicable for supply which would include an element of cross subsidy surcharge on certain other categories of consumers. What is important is that a consumer situated in an area is bound to contribute to subsidizing a low and consumer if he falls in the category of subsidizing consumer. Once a cross subsidy surcharge is fixed for an area it is liable to be paid and such payment will be used for meeting the current levels of cross subsidy within the area.”</w:t>
      </w:r>
    </w:p>
    <w:p w14:paraId="66F3D238" w14:textId="77777777" w:rsidR="002715D6" w:rsidRPr="002715D6" w:rsidRDefault="002715D6" w:rsidP="002715D6">
      <w:pPr>
        <w:spacing w:line="360" w:lineRule="auto"/>
        <w:ind w:left="1353"/>
        <w:jc w:val="both"/>
        <w:rPr>
          <w:sz w:val="24"/>
          <w:szCs w:val="24"/>
        </w:rPr>
      </w:pPr>
    </w:p>
    <w:p w14:paraId="32D4AEEC" w14:textId="77777777" w:rsidR="002715D6" w:rsidRPr="002715D6" w:rsidRDefault="002715D6" w:rsidP="002715D6">
      <w:pPr>
        <w:pStyle w:val="ListParagraph"/>
        <w:widowControl/>
        <w:numPr>
          <w:ilvl w:val="0"/>
          <w:numId w:val="23"/>
        </w:numPr>
        <w:autoSpaceDE/>
        <w:autoSpaceDN/>
        <w:spacing w:after="160" w:line="360" w:lineRule="auto"/>
        <w:ind w:left="1353"/>
        <w:jc w:val="both"/>
        <w:rPr>
          <w:sz w:val="24"/>
          <w:szCs w:val="24"/>
        </w:rPr>
      </w:pPr>
      <w:r w:rsidRPr="002715D6">
        <w:rPr>
          <w:sz w:val="24"/>
          <w:szCs w:val="24"/>
        </w:rPr>
        <w:t>Interface/feeding point between developer and the consumer is to be metered and sealed for calculation of injected energy &amp; Cross Subsidy Surcharge.</w:t>
      </w:r>
    </w:p>
    <w:p w14:paraId="244761E3" w14:textId="77777777" w:rsidR="002715D6" w:rsidRPr="002715D6" w:rsidRDefault="002715D6" w:rsidP="002715D6">
      <w:pPr>
        <w:pStyle w:val="ListParagraph"/>
        <w:widowControl/>
        <w:numPr>
          <w:ilvl w:val="0"/>
          <w:numId w:val="23"/>
        </w:numPr>
        <w:autoSpaceDE/>
        <w:autoSpaceDN/>
        <w:spacing w:after="160" w:line="360" w:lineRule="auto"/>
        <w:ind w:left="1353"/>
        <w:jc w:val="both"/>
        <w:rPr>
          <w:sz w:val="24"/>
          <w:szCs w:val="24"/>
        </w:rPr>
      </w:pPr>
      <w:r w:rsidRPr="002715D6">
        <w:rPr>
          <w:sz w:val="24"/>
          <w:szCs w:val="24"/>
        </w:rPr>
        <w:t>The Scheduling of power through SLDC will not be required if the power is not injected into distributing/transmission network.</w:t>
      </w:r>
    </w:p>
    <w:p w14:paraId="10EFA25B" w14:textId="1E73CB35" w:rsidR="00EA400D" w:rsidRPr="00FE656C" w:rsidRDefault="00EA400D" w:rsidP="002715D6">
      <w:pPr>
        <w:pStyle w:val="BodyText"/>
        <w:spacing w:before="1" w:line="360" w:lineRule="auto"/>
        <w:ind w:left="1843" w:right="142"/>
        <w:jc w:val="center"/>
        <w:rPr>
          <w:b/>
          <w:bCs/>
        </w:rPr>
      </w:pPr>
      <w:r w:rsidRPr="00FE656C">
        <w:rPr>
          <w:b/>
          <w:bCs/>
        </w:rPr>
        <w:lastRenderedPageBreak/>
        <w:t>Prayer</w:t>
      </w:r>
    </w:p>
    <w:p w14:paraId="3E73A390" w14:textId="226A8EE9" w:rsidR="00EA400D" w:rsidRDefault="00EA400D" w:rsidP="00503185">
      <w:pPr>
        <w:pStyle w:val="BodyText"/>
        <w:spacing w:before="1" w:line="360" w:lineRule="auto"/>
        <w:ind w:left="993" w:right="142"/>
        <w:jc w:val="both"/>
      </w:pPr>
      <w:r>
        <w:t>In the aforesaid facts and circumstances, the utility requests that the Hon’ble</w:t>
      </w:r>
      <w:r w:rsidR="00503185">
        <w:t xml:space="preserve"> </w:t>
      </w:r>
      <w:r>
        <w:t>Commission may be pleased to:</w:t>
      </w:r>
    </w:p>
    <w:p w14:paraId="2E0F121A" w14:textId="18628607" w:rsidR="00503185" w:rsidRDefault="00EA400D" w:rsidP="00503185">
      <w:pPr>
        <w:pStyle w:val="BodyText"/>
        <w:numPr>
          <w:ilvl w:val="0"/>
          <w:numId w:val="11"/>
        </w:numPr>
        <w:spacing w:before="1" w:line="360" w:lineRule="auto"/>
        <w:ind w:left="1418" w:right="142" w:hanging="425"/>
        <w:jc w:val="both"/>
      </w:pPr>
      <w:r>
        <w:t xml:space="preserve">Consider the proposal of TPWODL in this </w:t>
      </w:r>
      <w:r w:rsidR="000D7B80">
        <w:t xml:space="preserve">revised </w:t>
      </w:r>
      <w:r>
        <w:t>application for determination of Wheeling Charges and Cross Subsidy Surcharge on record.</w:t>
      </w:r>
    </w:p>
    <w:p w14:paraId="1C9C6E5B" w14:textId="5C0C851E" w:rsidR="00503185" w:rsidRDefault="00EA400D" w:rsidP="00503185">
      <w:pPr>
        <w:pStyle w:val="BodyText"/>
        <w:numPr>
          <w:ilvl w:val="0"/>
          <w:numId w:val="11"/>
        </w:numPr>
        <w:spacing w:before="1" w:line="360" w:lineRule="auto"/>
        <w:ind w:left="1418" w:right="142" w:hanging="425"/>
        <w:jc w:val="both"/>
      </w:pPr>
      <w:r>
        <w:t xml:space="preserve">Approve the </w:t>
      </w:r>
      <w:r w:rsidR="00206397">
        <w:t xml:space="preserve">revised </w:t>
      </w:r>
      <w:r>
        <w:t>Wheeling charges and Cross Subsidy Surcharge as prayed for FY 202</w:t>
      </w:r>
      <w:r w:rsidR="009C1637">
        <w:t>4</w:t>
      </w:r>
      <w:r>
        <w:t>-2</w:t>
      </w:r>
      <w:r w:rsidR="009C1637">
        <w:t>5</w:t>
      </w:r>
      <w:r>
        <w:t>.</w:t>
      </w:r>
    </w:p>
    <w:p w14:paraId="2397867E" w14:textId="77777777" w:rsidR="00503185" w:rsidRDefault="00EA400D" w:rsidP="00503185">
      <w:pPr>
        <w:pStyle w:val="BodyText"/>
        <w:numPr>
          <w:ilvl w:val="0"/>
          <w:numId w:val="11"/>
        </w:numPr>
        <w:spacing w:before="1" w:line="360" w:lineRule="auto"/>
        <w:ind w:left="1418" w:right="142" w:hanging="425"/>
        <w:jc w:val="both"/>
      </w:pPr>
      <w:r>
        <w:t>Fixation of Additional Surcharge in addition to CSS and Wheeling towards recovery of stranded FC, Recovery of Regulatory Assets.</w:t>
      </w:r>
    </w:p>
    <w:p w14:paraId="3D7CC512" w14:textId="15EDE7A1" w:rsidR="00503185" w:rsidRDefault="00EA400D" w:rsidP="00503185">
      <w:pPr>
        <w:pStyle w:val="BodyText"/>
        <w:numPr>
          <w:ilvl w:val="0"/>
          <w:numId w:val="11"/>
        </w:numPr>
        <w:spacing w:before="1" w:line="360" w:lineRule="auto"/>
        <w:ind w:left="1418" w:right="142" w:hanging="425"/>
        <w:jc w:val="both"/>
      </w:pPr>
      <w:r>
        <w:t>Approval of CSS for Peak and Off</w:t>
      </w:r>
      <w:r w:rsidR="00503185">
        <w:t>-</w:t>
      </w:r>
      <w:r>
        <w:t>peak hour.</w:t>
      </w:r>
    </w:p>
    <w:p w14:paraId="1DBC6F26" w14:textId="62DBD212" w:rsidR="00503185" w:rsidRDefault="00EA400D" w:rsidP="00503185">
      <w:pPr>
        <w:pStyle w:val="BodyText"/>
        <w:numPr>
          <w:ilvl w:val="0"/>
          <w:numId w:val="11"/>
        </w:numPr>
        <w:spacing w:before="1" w:line="360" w:lineRule="auto"/>
        <w:ind w:left="1418" w:right="142" w:hanging="425"/>
        <w:jc w:val="both"/>
      </w:pPr>
      <w:r>
        <w:t>Fixation of limitation for drawl of open access charges beyond CD.</w:t>
      </w:r>
    </w:p>
    <w:p w14:paraId="24917721" w14:textId="77777777" w:rsidR="00503185" w:rsidRDefault="00EA400D" w:rsidP="00503185">
      <w:pPr>
        <w:pStyle w:val="BodyText"/>
        <w:numPr>
          <w:ilvl w:val="0"/>
          <w:numId w:val="11"/>
        </w:numPr>
        <w:spacing w:before="1" w:line="360" w:lineRule="auto"/>
        <w:ind w:left="1418" w:right="142" w:hanging="425"/>
        <w:jc w:val="both"/>
      </w:pPr>
      <w:r>
        <w:t>Direction to pay wheeling charges by CGPs who are carrying own power through own Line or Net Work Assets created by them.</w:t>
      </w:r>
    </w:p>
    <w:p w14:paraId="0733C747" w14:textId="77777777" w:rsidR="00503185" w:rsidRDefault="00EA400D" w:rsidP="00503185">
      <w:pPr>
        <w:pStyle w:val="BodyText"/>
        <w:numPr>
          <w:ilvl w:val="0"/>
          <w:numId w:val="11"/>
        </w:numPr>
        <w:spacing w:before="1" w:line="360" w:lineRule="auto"/>
        <w:ind w:left="1418" w:right="142" w:hanging="425"/>
        <w:jc w:val="both"/>
      </w:pPr>
      <w:r>
        <w:t>Submissions of annual plan by open access consumers with the licensee or before State Commission as the case may be.</w:t>
      </w:r>
    </w:p>
    <w:p w14:paraId="745991D6" w14:textId="7994425C" w:rsidR="00503185" w:rsidRDefault="004E01A1" w:rsidP="00503185">
      <w:pPr>
        <w:pStyle w:val="BodyText"/>
        <w:numPr>
          <w:ilvl w:val="0"/>
          <w:numId w:val="11"/>
        </w:numPr>
        <w:spacing w:before="1" w:line="360" w:lineRule="auto"/>
        <w:ind w:left="1418" w:right="142" w:hanging="425"/>
        <w:jc w:val="both"/>
      </w:pPr>
      <w:r>
        <w:t xml:space="preserve">Continuity of </w:t>
      </w:r>
      <w:r w:rsidR="00EA400D">
        <w:t xml:space="preserve">Levy of cross subsidy surcharge and wheeling charges </w:t>
      </w:r>
      <w:r>
        <w:t>on RE power</w:t>
      </w:r>
      <w:r w:rsidR="001F7505">
        <w:t xml:space="preserve"> drawn outside the state</w:t>
      </w:r>
      <w:r w:rsidR="00EA400D">
        <w:t>.</w:t>
      </w:r>
    </w:p>
    <w:p w14:paraId="7D616DCC" w14:textId="5C271E71" w:rsidR="00EA400D" w:rsidRDefault="00EA400D" w:rsidP="00503185">
      <w:pPr>
        <w:pStyle w:val="BodyText"/>
        <w:numPr>
          <w:ilvl w:val="0"/>
          <w:numId w:val="11"/>
        </w:numPr>
        <w:spacing w:before="1" w:line="360" w:lineRule="auto"/>
        <w:ind w:left="1418" w:right="142" w:hanging="425"/>
        <w:jc w:val="both"/>
      </w:pPr>
      <w:r>
        <w:t xml:space="preserve">Any other relief, </w:t>
      </w:r>
      <w:proofErr w:type="gramStart"/>
      <w:r>
        <w:t>order</w:t>
      </w:r>
      <w:proofErr w:type="gramEnd"/>
      <w:r>
        <w:t xml:space="preserve"> or direction which the Hon’ble Commission deems fit to be also issued.</w:t>
      </w:r>
    </w:p>
    <w:p w14:paraId="32985976" w14:textId="77777777" w:rsidR="00503185" w:rsidRDefault="00503185" w:rsidP="00503185">
      <w:pPr>
        <w:pStyle w:val="BodyText"/>
        <w:spacing w:before="1" w:line="360" w:lineRule="auto"/>
        <w:ind w:left="1418" w:right="142"/>
        <w:jc w:val="center"/>
      </w:pPr>
    </w:p>
    <w:p w14:paraId="146F60B6" w14:textId="77777777" w:rsidR="00503185" w:rsidRDefault="00503185" w:rsidP="00503185">
      <w:pPr>
        <w:pStyle w:val="BodyText"/>
        <w:spacing w:before="1" w:line="360" w:lineRule="auto"/>
        <w:ind w:left="1418" w:right="142"/>
        <w:jc w:val="center"/>
      </w:pPr>
    </w:p>
    <w:p w14:paraId="63C7C8D0" w14:textId="2D8433A3" w:rsidR="00503185" w:rsidRDefault="00503185" w:rsidP="00503185">
      <w:pPr>
        <w:pStyle w:val="BodyText"/>
        <w:spacing w:before="1" w:line="360" w:lineRule="auto"/>
        <w:ind w:left="1418" w:right="142"/>
        <w:jc w:val="center"/>
      </w:pPr>
      <w:r>
        <w:t xml:space="preserve">                                                                                              By the Applicant</w:t>
      </w:r>
    </w:p>
    <w:p w14:paraId="4D6203F5" w14:textId="5DFE8A38" w:rsidR="00503185" w:rsidRDefault="00503185" w:rsidP="00503185">
      <w:pPr>
        <w:pStyle w:val="BodyText"/>
        <w:spacing w:before="1" w:line="360" w:lineRule="auto"/>
        <w:ind w:left="1418" w:right="142"/>
        <w:jc w:val="right"/>
      </w:pPr>
      <w:r>
        <w:t>Through GM (RA &amp; Strategy)</w:t>
      </w:r>
    </w:p>
    <w:p w14:paraId="1DBE2B50" w14:textId="77777777" w:rsidR="00EA400D" w:rsidRDefault="00EA400D" w:rsidP="00EA400D">
      <w:pPr>
        <w:pStyle w:val="BodyText"/>
        <w:spacing w:before="1" w:line="360" w:lineRule="auto"/>
        <w:ind w:left="1843" w:right="142"/>
        <w:jc w:val="both"/>
      </w:pPr>
    </w:p>
    <w:p w14:paraId="3441D221" w14:textId="77777777" w:rsidR="00503185" w:rsidRDefault="00EA400D" w:rsidP="00503185">
      <w:pPr>
        <w:pStyle w:val="BodyText"/>
        <w:spacing w:before="1" w:line="360" w:lineRule="auto"/>
        <w:ind w:right="142"/>
        <w:jc w:val="both"/>
      </w:pPr>
      <w:r>
        <w:t xml:space="preserve">Place: </w:t>
      </w:r>
    </w:p>
    <w:p w14:paraId="04ED4466" w14:textId="5B4794C2" w:rsidR="007A7415" w:rsidRDefault="00EA400D" w:rsidP="00985D15">
      <w:pPr>
        <w:pStyle w:val="BodyText"/>
        <w:spacing w:before="1" w:line="360" w:lineRule="auto"/>
        <w:ind w:right="142"/>
        <w:jc w:val="both"/>
      </w:pPr>
      <w:r>
        <w:t>Date:</w:t>
      </w:r>
    </w:p>
    <w:p w14:paraId="1A779FC3" w14:textId="77777777" w:rsidR="002715D6" w:rsidRDefault="002715D6" w:rsidP="00985D15">
      <w:pPr>
        <w:pStyle w:val="BodyText"/>
        <w:spacing w:before="1" w:line="360" w:lineRule="auto"/>
        <w:ind w:right="142"/>
        <w:jc w:val="both"/>
      </w:pPr>
    </w:p>
    <w:p w14:paraId="6DC1300A" w14:textId="77777777" w:rsidR="002715D6" w:rsidRDefault="002715D6" w:rsidP="00985D15">
      <w:pPr>
        <w:pStyle w:val="BodyText"/>
        <w:spacing w:before="1" w:line="360" w:lineRule="auto"/>
        <w:ind w:right="142"/>
        <w:jc w:val="both"/>
      </w:pPr>
    </w:p>
    <w:p w14:paraId="337535F9" w14:textId="77777777" w:rsidR="002715D6" w:rsidRDefault="002715D6" w:rsidP="00985D15">
      <w:pPr>
        <w:pStyle w:val="BodyText"/>
        <w:spacing w:before="1" w:line="360" w:lineRule="auto"/>
        <w:ind w:right="142"/>
        <w:jc w:val="both"/>
      </w:pPr>
    </w:p>
    <w:p w14:paraId="6736C57B" w14:textId="77777777" w:rsidR="002715D6" w:rsidRDefault="002715D6" w:rsidP="00985D15">
      <w:pPr>
        <w:pStyle w:val="BodyText"/>
        <w:spacing w:before="1" w:line="360" w:lineRule="auto"/>
        <w:ind w:right="142"/>
        <w:jc w:val="both"/>
      </w:pPr>
    </w:p>
    <w:p w14:paraId="1035091F" w14:textId="77777777" w:rsidR="002715D6" w:rsidRDefault="002715D6" w:rsidP="00985D15">
      <w:pPr>
        <w:pStyle w:val="BodyText"/>
        <w:spacing w:before="1" w:line="360" w:lineRule="auto"/>
        <w:ind w:right="142"/>
        <w:jc w:val="both"/>
      </w:pPr>
    </w:p>
    <w:p w14:paraId="1AE657CF" w14:textId="77777777" w:rsidR="002715D6" w:rsidRDefault="002715D6" w:rsidP="00985D15">
      <w:pPr>
        <w:pStyle w:val="BodyText"/>
        <w:spacing w:before="1" w:line="360" w:lineRule="auto"/>
        <w:ind w:right="142"/>
        <w:jc w:val="both"/>
      </w:pPr>
    </w:p>
    <w:p w14:paraId="116497DF" w14:textId="68AA71FE" w:rsidR="002715D6" w:rsidRDefault="002715D6" w:rsidP="00985D15">
      <w:pPr>
        <w:pStyle w:val="BodyText"/>
        <w:spacing w:before="1" w:line="360" w:lineRule="auto"/>
        <w:ind w:right="142"/>
        <w:jc w:val="both"/>
        <w:rPr>
          <w:b/>
          <w:bCs/>
          <w:u w:val="single"/>
        </w:rPr>
      </w:pPr>
      <w:r w:rsidRPr="002715D6">
        <w:rPr>
          <w:b/>
          <w:bCs/>
          <w:u w:val="single"/>
        </w:rPr>
        <w:lastRenderedPageBreak/>
        <w:t xml:space="preserve">Annexure </w:t>
      </w:r>
      <w:r>
        <w:rPr>
          <w:b/>
          <w:bCs/>
          <w:u w:val="single"/>
        </w:rPr>
        <w:t>–</w:t>
      </w:r>
      <w:r w:rsidRPr="002715D6">
        <w:rPr>
          <w:b/>
          <w:bCs/>
          <w:u w:val="single"/>
        </w:rPr>
        <w:t xml:space="preserve"> A</w:t>
      </w:r>
    </w:p>
    <w:p w14:paraId="4814F66D" w14:textId="60295A06" w:rsidR="002715D6" w:rsidRDefault="002715D6" w:rsidP="00985D15">
      <w:pPr>
        <w:pStyle w:val="BodyText"/>
        <w:spacing w:before="1" w:line="360" w:lineRule="auto"/>
        <w:ind w:right="142"/>
        <w:jc w:val="both"/>
      </w:pPr>
      <w:r w:rsidRPr="002715D6">
        <w:drawing>
          <wp:inline distT="0" distB="0" distL="0" distR="0" wp14:anchorId="305DC02D" wp14:editId="18B7C799">
            <wp:extent cx="5988050" cy="5956300"/>
            <wp:effectExtent l="0" t="0" r="0" b="6350"/>
            <wp:docPr id="2123304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88050" cy="5956300"/>
                    </a:xfrm>
                    <a:prstGeom prst="rect">
                      <a:avLst/>
                    </a:prstGeom>
                    <a:noFill/>
                    <a:ln>
                      <a:noFill/>
                    </a:ln>
                  </pic:spPr>
                </pic:pic>
              </a:graphicData>
            </a:graphic>
          </wp:inline>
        </w:drawing>
      </w:r>
    </w:p>
    <w:p w14:paraId="4FBB1184" w14:textId="77777777" w:rsidR="002715D6" w:rsidRDefault="002715D6" w:rsidP="002715D6">
      <w:pPr>
        <w:rPr>
          <w:sz w:val="24"/>
          <w:szCs w:val="24"/>
        </w:rPr>
      </w:pPr>
    </w:p>
    <w:p w14:paraId="1F1F3C9B" w14:textId="77777777" w:rsidR="002715D6" w:rsidRDefault="002715D6" w:rsidP="002715D6">
      <w:pPr>
        <w:jc w:val="right"/>
        <w:sectPr w:rsidR="002715D6" w:rsidSect="00503185">
          <w:pgSz w:w="11906" w:h="16838"/>
          <w:pgMar w:top="1440" w:right="1440" w:bottom="1440" w:left="1440" w:header="708" w:footer="708" w:gutter="0"/>
          <w:cols w:space="708"/>
          <w:docGrid w:linePitch="360"/>
        </w:sectPr>
      </w:pPr>
    </w:p>
    <w:p w14:paraId="4AAFC075" w14:textId="76020E36" w:rsidR="002715D6" w:rsidRDefault="002715D6" w:rsidP="002715D6">
      <w:pPr>
        <w:rPr>
          <w:b/>
          <w:bCs/>
          <w:u w:val="single"/>
        </w:rPr>
      </w:pPr>
      <w:r w:rsidRPr="002715D6">
        <w:rPr>
          <w:b/>
          <w:bCs/>
          <w:u w:val="single"/>
        </w:rPr>
        <w:lastRenderedPageBreak/>
        <w:t>Annexure-B</w:t>
      </w:r>
    </w:p>
    <w:p w14:paraId="2FB7341C" w14:textId="77777777" w:rsidR="002715D6" w:rsidRDefault="002715D6" w:rsidP="002715D6">
      <w:pPr>
        <w:rPr>
          <w:b/>
          <w:bCs/>
          <w:u w:val="single"/>
        </w:rPr>
      </w:pPr>
    </w:p>
    <w:p w14:paraId="78853FD3" w14:textId="543BC2AA" w:rsidR="002715D6" w:rsidRPr="002715D6" w:rsidRDefault="002715D6" w:rsidP="002715D6">
      <w:pPr>
        <w:rPr>
          <w:b/>
          <w:bCs/>
          <w:u w:val="single"/>
        </w:rPr>
      </w:pPr>
      <w:r w:rsidRPr="002715D6">
        <w:drawing>
          <wp:inline distT="0" distB="0" distL="0" distR="0" wp14:anchorId="7E5FAB94" wp14:editId="666CF2FB">
            <wp:extent cx="5975350" cy="3740150"/>
            <wp:effectExtent l="0" t="0" r="6350" b="0"/>
            <wp:docPr id="3112802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5350" cy="3740150"/>
                    </a:xfrm>
                    <a:prstGeom prst="rect">
                      <a:avLst/>
                    </a:prstGeom>
                    <a:noFill/>
                    <a:ln>
                      <a:noFill/>
                    </a:ln>
                  </pic:spPr>
                </pic:pic>
              </a:graphicData>
            </a:graphic>
          </wp:inline>
        </w:drawing>
      </w:r>
    </w:p>
    <w:sectPr w:rsidR="002715D6" w:rsidRPr="002715D6" w:rsidSect="005031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45FB7" w14:textId="77777777" w:rsidR="00626EBC" w:rsidRDefault="00626EBC" w:rsidP="006E3A81">
      <w:r>
        <w:separator/>
      </w:r>
    </w:p>
  </w:endnote>
  <w:endnote w:type="continuationSeparator" w:id="0">
    <w:p w14:paraId="6BB4B7AE" w14:textId="77777777" w:rsidR="00626EBC" w:rsidRDefault="00626EBC" w:rsidP="006E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yriad Pro">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832576"/>
      <w:docPartObj>
        <w:docPartGallery w:val="Page Numbers (Bottom of Page)"/>
        <w:docPartUnique/>
      </w:docPartObj>
    </w:sdtPr>
    <w:sdtEndPr>
      <w:rPr>
        <w:noProof/>
      </w:rPr>
    </w:sdtEndPr>
    <w:sdtContent>
      <w:p w14:paraId="0ACA69FF" w14:textId="43617B53" w:rsidR="006E3A81" w:rsidRDefault="00000000">
        <w:pPr>
          <w:pStyle w:val="Footer"/>
          <w:jc w:val="right"/>
        </w:pPr>
      </w:p>
    </w:sdtContent>
  </w:sdt>
  <w:p w14:paraId="2EFCEC0C" w14:textId="77777777" w:rsidR="006E3A81" w:rsidRDefault="006E3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640876"/>
      <w:docPartObj>
        <w:docPartGallery w:val="Page Numbers (Bottom of Page)"/>
        <w:docPartUnique/>
      </w:docPartObj>
    </w:sdtPr>
    <w:sdtEndPr>
      <w:rPr>
        <w:noProof/>
      </w:rPr>
    </w:sdtEndPr>
    <w:sdtContent>
      <w:p w14:paraId="158D99D7" w14:textId="5DC78593" w:rsidR="006E3A81" w:rsidRDefault="006E3A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5386A6" w14:textId="4A5C2FFE" w:rsidR="006E3A81" w:rsidRDefault="006E3A81">
    <w:pPr>
      <w:pStyle w:val="Footer"/>
    </w:pPr>
    <w:r w:rsidRPr="00AF2E69">
      <w:rPr>
        <w:noProof/>
      </w:rPr>
      <mc:AlternateContent>
        <mc:Choice Requires="wps">
          <w:drawing>
            <wp:anchor distT="0" distB="0" distL="114300" distR="114300" simplePos="0" relativeHeight="251659264" behindDoc="0" locked="0" layoutInCell="1" allowOverlap="1" wp14:anchorId="05A43438" wp14:editId="2E6BBBA6">
              <wp:simplePos x="0" y="0"/>
              <wp:positionH relativeFrom="margin">
                <wp:posOffset>-57150</wp:posOffset>
              </wp:positionH>
              <wp:positionV relativeFrom="paragraph">
                <wp:posOffset>144780</wp:posOffset>
              </wp:positionV>
              <wp:extent cx="2254250" cy="266700"/>
              <wp:effectExtent l="0" t="0" r="12700" b="0"/>
              <wp:wrapNone/>
              <wp:docPr id="7" name="TextBox 4">
                <a:extLst xmlns:a="http://schemas.openxmlformats.org/drawingml/2006/main">
                  <a:ext uri="{FF2B5EF4-FFF2-40B4-BE49-F238E27FC236}">
                    <a16:creationId xmlns:a16="http://schemas.microsoft.com/office/drawing/2014/main" id="{91E89D82-282B-4655-9887-154F54DEC5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D3204" w14:textId="5E7A0FF4" w:rsidR="006E3A81" w:rsidRPr="006E3A81" w:rsidRDefault="006E3A81" w:rsidP="006E3A81">
                          <w:pPr>
                            <w:rPr>
                              <w:rFonts w:ascii="Myriad Pro" w:hAnsi="Myriad Pro" w:cs="Arial"/>
                              <w:b/>
                              <w:bCs/>
                              <w:color w:val="808080" w:themeColor="background1" w:themeShade="80"/>
                              <w:kern w:val="24"/>
                              <w:sz w:val="20"/>
                              <w:szCs w:val="20"/>
                              <w:lang w:val="en-IN"/>
                            </w:rPr>
                          </w:pPr>
                          <w:r>
                            <w:rPr>
                              <w:rFonts w:ascii="Myriad Pro" w:hAnsi="Myriad Pro" w:cs="Arial"/>
                              <w:b/>
                              <w:bCs/>
                              <w:color w:val="808080" w:themeColor="background1" w:themeShade="80"/>
                              <w:kern w:val="24"/>
                              <w:sz w:val="20"/>
                              <w:szCs w:val="20"/>
                              <w:lang w:val="en-IN"/>
                            </w:rPr>
                            <w:t>Open Access Charges for FY 202</w:t>
                          </w:r>
                          <w:r w:rsidR="004D2F6B">
                            <w:rPr>
                              <w:rFonts w:ascii="Myriad Pro" w:hAnsi="Myriad Pro" w:cs="Arial"/>
                              <w:b/>
                              <w:bCs/>
                              <w:color w:val="808080" w:themeColor="background1" w:themeShade="80"/>
                              <w:kern w:val="24"/>
                              <w:sz w:val="20"/>
                              <w:szCs w:val="20"/>
                              <w:lang w:val="en-IN"/>
                            </w:rPr>
                            <w:t>4</w:t>
                          </w:r>
                          <w:r>
                            <w:rPr>
                              <w:rFonts w:ascii="Myriad Pro" w:hAnsi="Myriad Pro" w:cs="Arial"/>
                              <w:b/>
                              <w:bCs/>
                              <w:color w:val="808080" w:themeColor="background1" w:themeShade="80"/>
                              <w:kern w:val="24"/>
                              <w:sz w:val="20"/>
                              <w:szCs w:val="20"/>
                              <w:lang w:val="en-IN"/>
                            </w:rPr>
                            <w:t>-2</w:t>
                          </w:r>
                          <w:r w:rsidR="004D2F6B">
                            <w:rPr>
                              <w:rFonts w:ascii="Myriad Pro" w:hAnsi="Myriad Pro" w:cs="Arial"/>
                              <w:b/>
                              <w:bCs/>
                              <w:color w:val="808080" w:themeColor="background1" w:themeShade="80"/>
                              <w:kern w:val="24"/>
                              <w:sz w:val="20"/>
                              <w:szCs w:val="20"/>
                              <w:lang w:val="en-IN"/>
                            </w:rPr>
                            <w:t>5</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5A43438" id="_x0000_t202" coordsize="21600,21600" o:spt="202" path="m,l,21600r21600,l21600,xe">
              <v:stroke joinstyle="miter"/>
              <v:path gradientshapeok="t" o:connecttype="rect"/>
            </v:shapetype>
            <v:shape id="TextBox 4" o:spid="_x0000_s1026" type="#_x0000_t202" style="position:absolute;margin-left:-4.5pt;margin-top:11.4pt;width:177.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" filled="f" stroked="f">
              <v:textbox inset="0,0,0,0">
                <w:txbxContent>
                  <w:p w14:paraId="6F1D3204" w14:textId="5E7A0FF4" w:rsidR="006E3A81" w:rsidRPr="006E3A81" w:rsidRDefault="006E3A81" w:rsidP="006E3A81">
                    <w:pPr>
                      <w:rPr>
                        <w:rFonts w:ascii="Myriad Pro" w:hAnsi="Myriad Pro" w:cs="Arial"/>
                        <w:b/>
                        <w:bCs/>
                        <w:color w:val="808080" w:themeColor="background1" w:themeShade="80"/>
                        <w:kern w:val="24"/>
                        <w:sz w:val="20"/>
                        <w:szCs w:val="20"/>
                        <w:lang w:val="en-IN"/>
                      </w:rPr>
                    </w:pPr>
                    <w:r>
                      <w:rPr>
                        <w:rFonts w:ascii="Myriad Pro" w:hAnsi="Myriad Pro" w:cs="Arial"/>
                        <w:b/>
                        <w:bCs/>
                        <w:color w:val="808080" w:themeColor="background1" w:themeShade="80"/>
                        <w:kern w:val="24"/>
                        <w:sz w:val="20"/>
                        <w:szCs w:val="20"/>
                        <w:lang w:val="en-IN"/>
                      </w:rPr>
                      <w:t>Open Access Charges for FY 202</w:t>
                    </w:r>
                    <w:r w:rsidR="004D2F6B">
                      <w:rPr>
                        <w:rFonts w:ascii="Myriad Pro" w:hAnsi="Myriad Pro" w:cs="Arial"/>
                        <w:b/>
                        <w:bCs/>
                        <w:color w:val="808080" w:themeColor="background1" w:themeShade="80"/>
                        <w:kern w:val="24"/>
                        <w:sz w:val="20"/>
                        <w:szCs w:val="20"/>
                        <w:lang w:val="en-IN"/>
                      </w:rPr>
                      <w:t>4</w:t>
                    </w:r>
                    <w:r>
                      <w:rPr>
                        <w:rFonts w:ascii="Myriad Pro" w:hAnsi="Myriad Pro" w:cs="Arial"/>
                        <w:b/>
                        <w:bCs/>
                        <w:color w:val="808080" w:themeColor="background1" w:themeShade="80"/>
                        <w:kern w:val="24"/>
                        <w:sz w:val="20"/>
                        <w:szCs w:val="20"/>
                        <w:lang w:val="en-IN"/>
                      </w:rPr>
                      <w:t>-2</w:t>
                    </w:r>
                    <w:r w:rsidR="004D2F6B">
                      <w:rPr>
                        <w:rFonts w:ascii="Myriad Pro" w:hAnsi="Myriad Pro" w:cs="Arial"/>
                        <w:b/>
                        <w:bCs/>
                        <w:color w:val="808080" w:themeColor="background1" w:themeShade="80"/>
                        <w:kern w:val="24"/>
                        <w:sz w:val="20"/>
                        <w:szCs w:val="20"/>
                        <w:lang w:val="en-IN"/>
                      </w:rPr>
                      <w:t>5</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D0374" w14:textId="77777777" w:rsidR="00626EBC" w:rsidRDefault="00626EBC" w:rsidP="006E3A81">
      <w:r>
        <w:separator/>
      </w:r>
    </w:p>
  </w:footnote>
  <w:footnote w:type="continuationSeparator" w:id="0">
    <w:p w14:paraId="1DD88DFF" w14:textId="77777777" w:rsidR="00626EBC" w:rsidRDefault="00626EBC" w:rsidP="006E3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1F7B" w14:textId="2748F6C5" w:rsidR="006E3A81" w:rsidRDefault="006E3A81" w:rsidP="006E3A8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ECBD" w14:textId="09D54059" w:rsidR="006E3A81" w:rsidRDefault="00A628C1" w:rsidP="006E3A81">
    <w:pPr>
      <w:pStyle w:val="Header"/>
      <w:jc w:val="right"/>
    </w:pPr>
    <w:r>
      <w:rPr>
        <w:noProof/>
        <w:lang w:val="en-IN"/>
      </w:rPr>
      <w:drawing>
        <wp:anchor distT="0" distB="0" distL="114300" distR="114300" simplePos="0" relativeHeight="251661312" behindDoc="0" locked="0" layoutInCell="1" allowOverlap="1" wp14:anchorId="55125B31" wp14:editId="48527BB4">
          <wp:simplePos x="0" y="0"/>
          <wp:positionH relativeFrom="column">
            <wp:posOffset>4914900</wp:posOffset>
          </wp:positionH>
          <wp:positionV relativeFrom="paragraph">
            <wp:posOffset>39370</wp:posOffset>
          </wp:positionV>
          <wp:extent cx="1227455" cy="336550"/>
          <wp:effectExtent l="0" t="0" r="0" b="6350"/>
          <wp:wrapNone/>
          <wp:docPr id="56340365" name="Picture 56340365" descr="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om"/>
                  <pic:cNvPicPr>
                    <a:picLocks noChangeAspect="1"/>
                  </pic:cNvPicPr>
                </pic:nvPicPr>
                <pic:blipFill>
                  <a:blip r:embed="rId1"/>
                  <a:srcRect b="50032"/>
                  <a:stretch>
                    <a:fillRect/>
                  </a:stretch>
                </pic:blipFill>
                <pic:spPr>
                  <a:xfrm>
                    <a:off x="0" y="0"/>
                    <a:ext cx="1227455" cy="336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12EF"/>
    <w:multiLevelType w:val="hybridMultilevel"/>
    <w:tmpl w:val="FFE6B9EE"/>
    <w:lvl w:ilvl="0" w:tplc="40090011">
      <w:start w:val="1"/>
      <w:numFmt w:val="decimal"/>
      <w:lvlText w:val="%1)"/>
      <w:lvlJc w:val="left"/>
      <w:pPr>
        <w:ind w:left="2563" w:hanging="360"/>
      </w:pPr>
    </w:lvl>
    <w:lvl w:ilvl="1" w:tplc="40090019" w:tentative="1">
      <w:start w:val="1"/>
      <w:numFmt w:val="lowerLetter"/>
      <w:lvlText w:val="%2."/>
      <w:lvlJc w:val="left"/>
      <w:pPr>
        <w:ind w:left="3283" w:hanging="360"/>
      </w:pPr>
    </w:lvl>
    <w:lvl w:ilvl="2" w:tplc="4009001B" w:tentative="1">
      <w:start w:val="1"/>
      <w:numFmt w:val="lowerRoman"/>
      <w:lvlText w:val="%3."/>
      <w:lvlJc w:val="right"/>
      <w:pPr>
        <w:ind w:left="4003" w:hanging="180"/>
      </w:pPr>
    </w:lvl>
    <w:lvl w:ilvl="3" w:tplc="4009000F" w:tentative="1">
      <w:start w:val="1"/>
      <w:numFmt w:val="decimal"/>
      <w:lvlText w:val="%4."/>
      <w:lvlJc w:val="left"/>
      <w:pPr>
        <w:ind w:left="4723" w:hanging="360"/>
      </w:pPr>
    </w:lvl>
    <w:lvl w:ilvl="4" w:tplc="40090019" w:tentative="1">
      <w:start w:val="1"/>
      <w:numFmt w:val="lowerLetter"/>
      <w:lvlText w:val="%5."/>
      <w:lvlJc w:val="left"/>
      <w:pPr>
        <w:ind w:left="5443" w:hanging="360"/>
      </w:pPr>
    </w:lvl>
    <w:lvl w:ilvl="5" w:tplc="4009001B" w:tentative="1">
      <w:start w:val="1"/>
      <w:numFmt w:val="lowerRoman"/>
      <w:lvlText w:val="%6."/>
      <w:lvlJc w:val="right"/>
      <w:pPr>
        <w:ind w:left="6163" w:hanging="180"/>
      </w:pPr>
    </w:lvl>
    <w:lvl w:ilvl="6" w:tplc="4009000F" w:tentative="1">
      <w:start w:val="1"/>
      <w:numFmt w:val="decimal"/>
      <w:lvlText w:val="%7."/>
      <w:lvlJc w:val="left"/>
      <w:pPr>
        <w:ind w:left="6883" w:hanging="360"/>
      </w:pPr>
    </w:lvl>
    <w:lvl w:ilvl="7" w:tplc="40090019" w:tentative="1">
      <w:start w:val="1"/>
      <w:numFmt w:val="lowerLetter"/>
      <w:lvlText w:val="%8."/>
      <w:lvlJc w:val="left"/>
      <w:pPr>
        <w:ind w:left="7603" w:hanging="360"/>
      </w:pPr>
    </w:lvl>
    <w:lvl w:ilvl="8" w:tplc="4009001B" w:tentative="1">
      <w:start w:val="1"/>
      <w:numFmt w:val="lowerRoman"/>
      <w:lvlText w:val="%9."/>
      <w:lvlJc w:val="right"/>
      <w:pPr>
        <w:ind w:left="8323" w:hanging="180"/>
      </w:pPr>
    </w:lvl>
  </w:abstractNum>
  <w:abstractNum w:abstractNumId="1" w15:restartNumberingAfterBreak="0">
    <w:nsid w:val="1A3F2AD6"/>
    <w:multiLevelType w:val="hybridMultilevel"/>
    <w:tmpl w:val="0F48C240"/>
    <w:lvl w:ilvl="0" w:tplc="4009001B">
      <w:start w:val="1"/>
      <w:numFmt w:val="lowerRoman"/>
      <w:lvlText w:val="%1."/>
      <w:lvlJc w:val="right"/>
      <w:pPr>
        <w:ind w:left="1783" w:hanging="360"/>
      </w:pPr>
    </w:lvl>
    <w:lvl w:ilvl="1" w:tplc="40090019" w:tentative="1">
      <w:start w:val="1"/>
      <w:numFmt w:val="lowerLetter"/>
      <w:lvlText w:val="%2."/>
      <w:lvlJc w:val="left"/>
      <w:pPr>
        <w:ind w:left="2503" w:hanging="360"/>
      </w:pPr>
    </w:lvl>
    <w:lvl w:ilvl="2" w:tplc="4009001B" w:tentative="1">
      <w:start w:val="1"/>
      <w:numFmt w:val="lowerRoman"/>
      <w:lvlText w:val="%3."/>
      <w:lvlJc w:val="right"/>
      <w:pPr>
        <w:ind w:left="3223" w:hanging="180"/>
      </w:pPr>
    </w:lvl>
    <w:lvl w:ilvl="3" w:tplc="4009000F" w:tentative="1">
      <w:start w:val="1"/>
      <w:numFmt w:val="decimal"/>
      <w:lvlText w:val="%4."/>
      <w:lvlJc w:val="left"/>
      <w:pPr>
        <w:ind w:left="3943" w:hanging="360"/>
      </w:pPr>
    </w:lvl>
    <w:lvl w:ilvl="4" w:tplc="40090019" w:tentative="1">
      <w:start w:val="1"/>
      <w:numFmt w:val="lowerLetter"/>
      <w:lvlText w:val="%5."/>
      <w:lvlJc w:val="left"/>
      <w:pPr>
        <w:ind w:left="4663" w:hanging="360"/>
      </w:pPr>
    </w:lvl>
    <w:lvl w:ilvl="5" w:tplc="4009001B" w:tentative="1">
      <w:start w:val="1"/>
      <w:numFmt w:val="lowerRoman"/>
      <w:lvlText w:val="%6."/>
      <w:lvlJc w:val="right"/>
      <w:pPr>
        <w:ind w:left="5383" w:hanging="180"/>
      </w:pPr>
    </w:lvl>
    <w:lvl w:ilvl="6" w:tplc="4009000F" w:tentative="1">
      <w:start w:val="1"/>
      <w:numFmt w:val="decimal"/>
      <w:lvlText w:val="%7."/>
      <w:lvlJc w:val="left"/>
      <w:pPr>
        <w:ind w:left="6103" w:hanging="360"/>
      </w:pPr>
    </w:lvl>
    <w:lvl w:ilvl="7" w:tplc="40090019" w:tentative="1">
      <w:start w:val="1"/>
      <w:numFmt w:val="lowerLetter"/>
      <w:lvlText w:val="%8."/>
      <w:lvlJc w:val="left"/>
      <w:pPr>
        <w:ind w:left="6823" w:hanging="360"/>
      </w:pPr>
    </w:lvl>
    <w:lvl w:ilvl="8" w:tplc="4009001B" w:tentative="1">
      <w:start w:val="1"/>
      <w:numFmt w:val="lowerRoman"/>
      <w:lvlText w:val="%9."/>
      <w:lvlJc w:val="right"/>
      <w:pPr>
        <w:ind w:left="7543" w:hanging="180"/>
      </w:pPr>
    </w:lvl>
  </w:abstractNum>
  <w:abstractNum w:abstractNumId="2" w15:restartNumberingAfterBreak="0">
    <w:nsid w:val="1D696AFB"/>
    <w:multiLevelType w:val="hybridMultilevel"/>
    <w:tmpl w:val="C1E88C6A"/>
    <w:lvl w:ilvl="0" w:tplc="07580FEE">
      <w:start w:val="1"/>
      <w:numFmt w:val="lowerRoman"/>
      <w:lvlText w:val="(%1)"/>
      <w:lvlJc w:val="left"/>
      <w:pPr>
        <w:ind w:left="2138" w:hanging="360"/>
      </w:pPr>
      <w:rPr>
        <w:rFonts w:hint="default"/>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3" w15:restartNumberingAfterBreak="0">
    <w:nsid w:val="271A4DBF"/>
    <w:multiLevelType w:val="hybridMultilevel"/>
    <w:tmpl w:val="B002A7D0"/>
    <w:lvl w:ilvl="0" w:tplc="6CD80A08">
      <w:start w:val="1"/>
      <w:numFmt w:val="lowerRoman"/>
      <w:lvlText w:val="%1)"/>
      <w:lvlJc w:val="left"/>
      <w:pPr>
        <w:ind w:left="1062" w:hanging="123"/>
      </w:pPr>
      <w:rPr>
        <w:rFonts w:hint="default"/>
        <w:b/>
        <w:bCs/>
        <w:spacing w:val="-1"/>
        <w:w w:val="99"/>
        <w:u w:val="single" w:color="000000"/>
        <w:lang w:val="en-US" w:eastAsia="en-US" w:bidi="ar-SA"/>
      </w:rPr>
    </w:lvl>
    <w:lvl w:ilvl="1" w:tplc="1BA6FBE0">
      <w:numFmt w:val="bullet"/>
      <w:lvlText w:val="•"/>
      <w:lvlJc w:val="left"/>
      <w:pPr>
        <w:ind w:left="1926" w:hanging="123"/>
      </w:pPr>
      <w:rPr>
        <w:rFonts w:hint="default"/>
        <w:lang w:val="en-US" w:eastAsia="en-US" w:bidi="ar-SA"/>
      </w:rPr>
    </w:lvl>
    <w:lvl w:ilvl="2" w:tplc="4BCEB25A">
      <w:numFmt w:val="bullet"/>
      <w:lvlText w:val="•"/>
      <w:lvlJc w:val="left"/>
      <w:pPr>
        <w:ind w:left="2793" w:hanging="123"/>
      </w:pPr>
      <w:rPr>
        <w:rFonts w:hint="default"/>
        <w:lang w:val="en-US" w:eastAsia="en-US" w:bidi="ar-SA"/>
      </w:rPr>
    </w:lvl>
    <w:lvl w:ilvl="3" w:tplc="C008AD7E">
      <w:numFmt w:val="bullet"/>
      <w:lvlText w:val="•"/>
      <w:lvlJc w:val="left"/>
      <w:pPr>
        <w:ind w:left="3660" w:hanging="123"/>
      </w:pPr>
      <w:rPr>
        <w:rFonts w:hint="default"/>
        <w:lang w:val="en-US" w:eastAsia="en-US" w:bidi="ar-SA"/>
      </w:rPr>
    </w:lvl>
    <w:lvl w:ilvl="4" w:tplc="709A4B70">
      <w:numFmt w:val="bullet"/>
      <w:lvlText w:val="•"/>
      <w:lvlJc w:val="left"/>
      <w:pPr>
        <w:ind w:left="4527" w:hanging="123"/>
      </w:pPr>
      <w:rPr>
        <w:rFonts w:hint="default"/>
        <w:lang w:val="en-US" w:eastAsia="en-US" w:bidi="ar-SA"/>
      </w:rPr>
    </w:lvl>
    <w:lvl w:ilvl="5" w:tplc="7FB848CE">
      <w:numFmt w:val="bullet"/>
      <w:lvlText w:val="•"/>
      <w:lvlJc w:val="left"/>
      <w:pPr>
        <w:ind w:left="5394" w:hanging="123"/>
      </w:pPr>
      <w:rPr>
        <w:rFonts w:hint="default"/>
        <w:lang w:val="en-US" w:eastAsia="en-US" w:bidi="ar-SA"/>
      </w:rPr>
    </w:lvl>
    <w:lvl w:ilvl="6" w:tplc="87B0EDD2">
      <w:numFmt w:val="bullet"/>
      <w:lvlText w:val="•"/>
      <w:lvlJc w:val="left"/>
      <w:pPr>
        <w:ind w:left="6261" w:hanging="123"/>
      </w:pPr>
      <w:rPr>
        <w:rFonts w:hint="default"/>
        <w:lang w:val="en-US" w:eastAsia="en-US" w:bidi="ar-SA"/>
      </w:rPr>
    </w:lvl>
    <w:lvl w:ilvl="7" w:tplc="35A8F4B4">
      <w:numFmt w:val="bullet"/>
      <w:lvlText w:val="•"/>
      <w:lvlJc w:val="left"/>
      <w:pPr>
        <w:ind w:left="7128" w:hanging="123"/>
      </w:pPr>
      <w:rPr>
        <w:rFonts w:hint="default"/>
        <w:lang w:val="en-US" w:eastAsia="en-US" w:bidi="ar-SA"/>
      </w:rPr>
    </w:lvl>
    <w:lvl w:ilvl="8" w:tplc="580E8F60">
      <w:numFmt w:val="bullet"/>
      <w:lvlText w:val="•"/>
      <w:lvlJc w:val="left"/>
      <w:pPr>
        <w:ind w:left="7995" w:hanging="123"/>
      </w:pPr>
      <w:rPr>
        <w:rFonts w:hint="default"/>
        <w:lang w:val="en-US" w:eastAsia="en-US" w:bidi="ar-SA"/>
      </w:rPr>
    </w:lvl>
  </w:abstractNum>
  <w:abstractNum w:abstractNumId="4" w15:restartNumberingAfterBreak="0">
    <w:nsid w:val="2AB63299"/>
    <w:multiLevelType w:val="hybridMultilevel"/>
    <w:tmpl w:val="A612B144"/>
    <w:lvl w:ilvl="0" w:tplc="E1B68D74">
      <w:start w:val="1"/>
      <w:numFmt w:val="lowerRoman"/>
      <w:lvlText w:val="(%1)"/>
      <w:lvlJc w:val="left"/>
      <w:pPr>
        <w:ind w:left="1713" w:hanging="360"/>
      </w:pPr>
      <w:rPr>
        <w:rFonts w:hint="default"/>
        <w:spacing w:val="-2"/>
        <w:w w:val="100"/>
        <w:lang w:val="en-US" w:eastAsia="en-US" w:bidi="ar-SA"/>
      </w:r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5" w15:restartNumberingAfterBreak="0">
    <w:nsid w:val="2BF5170C"/>
    <w:multiLevelType w:val="hybridMultilevel"/>
    <w:tmpl w:val="9A24F440"/>
    <w:lvl w:ilvl="0" w:tplc="07580FEE">
      <w:start w:val="1"/>
      <w:numFmt w:val="lowerRoman"/>
      <w:lvlText w:val="(%1)"/>
      <w:lvlJc w:val="left"/>
      <w:pPr>
        <w:ind w:left="1713" w:hanging="72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6" w15:restartNumberingAfterBreak="0">
    <w:nsid w:val="3325408C"/>
    <w:multiLevelType w:val="hybridMultilevel"/>
    <w:tmpl w:val="D3E6C270"/>
    <w:lvl w:ilvl="0" w:tplc="07580FEE">
      <w:start w:val="1"/>
      <w:numFmt w:val="lowerRoman"/>
      <w:lvlText w:val="(%1)"/>
      <w:lvlJc w:val="left"/>
      <w:pPr>
        <w:ind w:left="1713" w:hanging="360"/>
      </w:pPr>
      <w:rPr>
        <w:rFonts w:hint="default"/>
      </w:r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7" w15:restartNumberingAfterBreak="0">
    <w:nsid w:val="34E03926"/>
    <w:multiLevelType w:val="hybridMultilevel"/>
    <w:tmpl w:val="696E41D8"/>
    <w:lvl w:ilvl="0" w:tplc="B02C3424">
      <w:start w:val="1"/>
      <w:numFmt w:val="decimal"/>
      <w:lvlText w:val="%1."/>
      <w:lvlJc w:val="left"/>
      <w:pPr>
        <w:ind w:left="720" w:hanging="360"/>
      </w:pPr>
      <w:rPr>
        <w:rFonts w:eastAsiaTheme="minorHAnsi" w:hint="default"/>
        <w:b w:val="0"/>
        <w:bCs/>
      </w:rPr>
    </w:lvl>
    <w:lvl w:ilvl="1" w:tplc="40090019">
      <w:start w:val="1"/>
      <w:numFmt w:val="lowerLetter"/>
      <w:lvlText w:val="%2."/>
      <w:lvlJc w:val="left"/>
      <w:pPr>
        <w:ind w:left="1495"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6D827F8"/>
    <w:multiLevelType w:val="hybridMultilevel"/>
    <w:tmpl w:val="96AE0AF6"/>
    <w:lvl w:ilvl="0" w:tplc="FFFFFFFF">
      <w:start w:val="1"/>
      <w:numFmt w:val="decimal"/>
      <w:lvlText w:val="%1)"/>
      <w:lvlJc w:val="left"/>
      <w:pPr>
        <w:ind w:left="1660" w:hanging="360"/>
      </w:pPr>
    </w:lvl>
    <w:lvl w:ilvl="1" w:tplc="FFFFFFFF" w:tentative="1">
      <w:start w:val="1"/>
      <w:numFmt w:val="lowerLetter"/>
      <w:lvlText w:val="%2."/>
      <w:lvlJc w:val="left"/>
      <w:pPr>
        <w:ind w:left="2380" w:hanging="360"/>
      </w:pPr>
    </w:lvl>
    <w:lvl w:ilvl="2" w:tplc="FFFFFFFF" w:tentative="1">
      <w:start w:val="1"/>
      <w:numFmt w:val="lowerRoman"/>
      <w:lvlText w:val="%3."/>
      <w:lvlJc w:val="right"/>
      <w:pPr>
        <w:ind w:left="3100" w:hanging="180"/>
      </w:pPr>
    </w:lvl>
    <w:lvl w:ilvl="3" w:tplc="FFFFFFFF" w:tentative="1">
      <w:start w:val="1"/>
      <w:numFmt w:val="decimal"/>
      <w:lvlText w:val="%4."/>
      <w:lvlJc w:val="left"/>
      <w:pPr>
        <w:ind w:left="3820" w:hanging="360"/>
      </w:pPr>
    </w:lvl>
    <w:lvl w:ilvl="4" w:tplc="FFFFFFFF" w:tentative="1">
      <w:start w:val="1"/>
      <w:numFmt w:val="lowerLetter"/>
      <w:lvlText w:val="%5."/>
      <w:lvlJc w:val="left"/>
      <w:pPr>
        <w:ind w:left="4540" w:hanging="360"/>
      </w:pPr>
    </w:lvl>
    <w:lvl w:ilvl="5" w:tplc="FFFFFFFF" w:tentative="1">
      <w:start w:val="1"/>
      <w:numFmt w:val="lowerRoman"/>
      <w:lvlText w:val="%6."/>
      <w:lvlJc w:val="right"/>
      <w:pPr>
        <w:ind w:left="5260" w:hanging="180"/>
      </w:pPr>
    </w:lvl>
    <w:lvl w:ilvl="6" w:tplc="FFFFFFFF" w:tentative="1">
      <w:start w:val="1"/>
      <w:numFmt w:val="decimal"/>
      <w:lvlText w:val="%7."/>
      <w:lvlJc w:val="left"/>
      <w:pPr>
        <w:ind w:left="5980" w:hanging="360"/>
      </w:pPr>
    </w:lvl>
    <w:lvl w:ilvl="7" w:tplc="FFFFFFFF" w:tentative="1">
      <w:start w:val="1"/>
      <w:numFmt w:val="lowerLetter"/>
      <w:lvlText w:val="%8."/>
      <w:lvlJc w:val="left"/>
      <w:pPr>
        <w:ind w:left="6700" w:hanging="360"/>
      </w:pPr>
    </w:lvl>
    <w:lvl w:ilvl="8" w:tplc="FFFFFFFF" w:tentative="1">
      <w:start w:val="1"/>
      <w:numFmt w:val="lowerRoman"/>
      <w:lvlText w:val="%9."/>
      <w:lvlJc w:val="right"/>
      <w:pPr>
        <w:ind w:left="7420" w:hanging="180"/>
      </w:pPr>
    </w:lvl>
  </w:abstractNum>
  <w:abstractNum w:abstractNumId="9" w15:restartNumberingAfterBreak="0">
    <w:nsid w:val="37532CF9"/>
    <w:multiLevelType w:val="hybridMultilevel"/>
    <w:tmpl w:val="96AE0AF6"/>
    <w:lvl w:ilvl="0" w:tplc="FFFFFFFF">
      <w:start w:val="1"/>
      <w:numFmt w:val="decimal"/>
      <w:lvlText w:val="%1)"/>
      <w:lvlJc w:val="left"/>
      <w:pPr>
        <w:ind w:left="1660" w:hanging="360"/>
      </w:pPr>
    </w:lvl>
    <w:lvl w:ilvl="1" w:tplc="FFFFFFFF">
      <w:start w:val="1"/>
      <w:numFmt w:val="lowerLetter"/>
      <w:lvlText w:val="%2."/>
      <w:lvlJc w:val="left"/>
      <w:pPr>
        <w:ind w:left="2380" w:hanging="360"/>
      </w:pPr>
    </w:lvl>
    <w:lvl w:ilvl="2" w:tplc="FFFFFFFF" w:tentative="1">
      <w:start w:val="1"/>
      <w:numFmt w:val="lowerRoman"/>
      <w:lvlText w:val="%3."/>
      <w:lvlJc w:val="right"/>
      <w:pPr>
        <w:ind w:left="3100" w:hanging="180"/>
      </w:pPr>
    </w:lvl>
    <w:lvl w:ilvl="3" w:tplc="FFFFFFFF" w:tentative="1">
      <w:start w:val="1"/>
      <w:numFmt w:val="decimal"/>
      <w:lvlText w:val="%4."/>
      <w:lvlJc w:val="left"/>
      <w:pPr>
        <w:ind w:left="3820" w:hanging="360"/>
      </w:pPr>
    </w:lvl>
    <w:lvl w:ilvl="4" w:tplc="FFFFFFFF" w:tentative="1">
      <w:start w:val="1"/>
      <w:numFmt w:val="lowerLetter"/>
      <w:lvlText w:val="%5."/>
      <w:lvlJc w:val="left"/>
      <w:pPr>
        <w:ind w:left="4540" w:hanging="360"/>
      </w:pPr>
    </w:lvl>
    <w:lvl w:ilvl="5" w:tplc="FFFFFFFF" w:tentative="1">
      <w:start w:val="1"/>
      <w:numFmt w:val="lowerRoman"/>
      <w:lvlText w:val="%6."/>
      <w:lvlJc w:val="right"/>
      <w:pPr>
        <w:ind w:left="5260" w:hanging="180"/>
      </w:pPr>
    </w:lvl>
    <w:lvl w:ilvl="6" w:tplc="FFFFFFFF" w:tentative="1">
      <w:start w:val="1"/>
      <w:numFmt w:val="decimal"/>
      <w:lvlText w:val="%7."/>
      <w:lvlJc w:val="left"/>
      <w:pPr>
        <w:ind w:left="5980" w:hanging="360"/>
      </w:pPr>
    </w:lvl>
    <w:lvl w:ilvl="7" w:tplc="FFFFFFFF" w:tentative="1">
      <w:start w:val="1"/>
      <w:numFmt w:val="lowerLetter"/>
      <w:lvlText w:val="%8."/>
      <w:lvlJc w:val="left"/>
      <w:pPr>
        <w:ind w:left="6700" w:hanging="360"/>
      </w:pPr>
    </w:lvl>
    <w:lvl w:ilvl="8" w:tplc="FFFFFFFF" w:tentative="1">
      <w:start w:val="1"/>
      <w:numFmt w:val="lowerRoman"/>
      <w:lvlText w:val="%9."/>
      <w:lvlJc w:val="right"/>
      <w:pPr>
        <w:ind w:left="7420" w:hanging="180"/>
      </w:pPr>
    </w:lvl>
  </w:abstractNum>
  <w:abstractNum w:abstractNumId="10" w15:restartNumberingAfterBreak="0">
    <w:nsid w:val="3B044281"/>
    <w:multiLevelType w:val="hybridMultilevel"/>
    <w:tmpl w:val="826849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B04458E"/>
    <w:multiLevelType w:val="hybridMultilevel"/>
    <w:tmpl w:val="50E4BC8C"/>
    <w:lvl w:ilvl="0" w:tplc="40090017">
      <w:start w:val="1"/>
      <w:numFmt w:val="lowerLetter"/>
      <w:lvlText w:val="%1)"/>
      <w:lvlJc w:val="left"/>
      <w:pPr>
        <w:ind w:left="2563" w:hanging="360"/>
      </w:pPr>
    </w:lvl>
    <w:lvl w:ilvl="1" w:tplc="40090019" w:tentative="1">
      <w:start w:val="1"/>
      <w:numFmt w:val="lowerLetter"/>
      <w:lvlText w:val="%2."/>
      <w:lvlJc w:val="left"/>
      <w:pPr>
        <w:ind w:left="3283" w:hanging="360"/>
      </w:pPr>
    </w:lvl>
    <w:lvl w:ilvl="2" w:tplc="4009001B" w:tentative="1">
      <w:start w:val="1"/>
      <w:numFmt w:val="lowerRoman"/>
      <w:lvlText w:val="%3."/>
      <w:lvlJc w:val="right"/>
      <w:pPr>
        <w:ind w:left="4003" w:hanging="180"/>
      </w:pPr>
    </w:lvl>
    <w:lvl w:ilvl="3" w:tplc="4009000F" w:tentative="1">
      <w:start w:val="1"/>
      <w:numFmt w:val="decimal"/>
      <w:lvlText w:val="%4."/>
      <w:lvlJc w:val="left"/>
      <w:pPr>
        <w:ind w:left="4723" w:hanging="360"/>
      </w:pPr>
    </w:lvl>
    <w:lvl w:ilvl="4" w:tplc="40090019" w:tentative="1">
      <w:start w:val="1"/>
      <w:numFmt w:val="lowerLetter"/>
      <w:lvlText w:val="%5."/>
      <w:lvlJc w:val="left"/>
      <w:pPr>
        <w:ind w:left="5443" w:hanging="360"/>
      </w:pPr>
    </w:lvl>
    <w:lvl w:ilvl="5" w:tplc="4009001B" w:tentative="1">
      <w:start w:val="1"/>
      <w:numFmt w:val="lowerRoman"/>
      <w:lvlText w:val="%6."/>
      <w:lvlJc w:val="right"/>
      <w:pPr>
        <w:ind w:left="6163" w:hanging="180"/>
      </w:pPr>
    </w:lvl>
    <w:lvl w:ilvl="6" w:tplc="4009000F" w:tentative="1">
      <w:start w:val="1"/>
      <w:numFmt w:val="decimal"/>
      <w:lvlText w:val="%7."/>
      <w:lvlJc w:val="left"/>
      <w:pPr>
        <w:ind w:left="6883" w:hanging="360"/>
      </w:pPr>
    </w:lvl>
    <w:lvl w:ilvl="7" w:tplc="40090019" w:tentative="1">
      <w:start w:val="1"/>
      <w:numFmt w:val="lowerLetter"/>
      <w:lvlText w:val="%8."/>
      <w:lvlJc w:val="left"/>
      <w:pPr>
        <w:ind w:left="7603" w:hanging="360"/>
      </w:pPr>
    </w:lvl>
    <w:lvl w:ilvl="8" w:tplc="4009001B" w:tentative="1">
      <w:start w:val="1"/>
      <w:numFmt w:val="lowerRoman"/>
      <w:lvlText w:val="%9."/>
      <w:lvlJc w:val="right"/>
      <w:pPr>
        <w:ind w:left="8323" w:hanging="180"/>
      </w:pPr>
    </w:lvl>
  </w:abstractNum>
  <w:abstractNum w:abstractNumId="12" w15:restartNumberingAfterBreak="0">
    <w:nsid w:val="421B52A9"/>
    <w:multiLevelType w:val="hybridMultilevel"/>
    <w:tmpl w:val="07F8F862"/>
    <w:lvl w:ilvl="0" w:tplc="FFFFFFFF">
      <w:start w:val="1"/>
      <w:numFmt w:val="decimal"/>
      <w:lvlText w:val="%1)"/>
      <w:lvlJc w:val="left"/>
      <w:pPr>
        <w:ind w:left="1660" w:hanging="360"/>
      </w:pPr>
    </w:lvl>
    <w:lvl w:ilvl="1" w:tplc="FFFFFFFF" w:tentative="1">
      <w:start w:val="1"/>
      <w:numFmt w:val="lowerLetter"/>
      <w:lvlText w:val="%2."/>
      <w:lvlJc w:val="left"/>
      <w:pPr>
        <w:ind w:left="2380" w:hanging="360"/>
      </w:pPr>
    </w:lvl>
    <w:lvl w:ilvl="2" w:tplc="FFFFFFFF" w:tentative="1">
      <w:start w:val="1"/>
      <w:numFmt w:val="lowerRoman"/>
      <w:lvlText w:val="%3."/>
      <w:lvlJc w:val="right"/>
      <w:pPr>
        <w:ind w:left="3100" w:hanging="180"/>
      </w:pPr>
    </w:lvl>
    <w:lvl w:ilvl="3" w:tplc="FFFFFFFF" w:tentative="1">
      <w:start w:val="1"/>
      <w:numFmt w:val="decimal"/>
      <w:lvlText w:val="%4."/>
      <w:lvlJc w:val="left"/>
      <w:pPr>
        <w:ind w:left="3820" w:hanging="360"/>
      </w:pPr>
    </w:lvl>
    <w:lvl w:ilvl="4" w:tplc="FFFFFFFF" w:tentative="1">
      <w:start w:val="1"/>
      <w:numFmt w:val="lowerLetter"/>
      <w:lvlText w:val="%5."/>
      <w:lvlJc w:val="left"/>
      <w:pPr>
        <w:ind w:left="4540" w:hanging="360"/>
      </w:pPr>
    </w:lvl>
    <w:lvl w:ilvl="5" w:tplc="FFFFFFFF" w:tentative="1">
      <w:start w:val="1"/>
      <w:numFmt w:val="lowerRoman"/>
      <w:lvlText w:val="%6."/>
      <w:lvlJc w:val="right"/>
      <w:pPr>
        <w:ind w:left="5260" w:hanging="180"/>
      </w:pPr>
    </w:lvl>
    <w:lvl w:ilvl="6" w:tplc="FFFFFFFF" w:tentative="1">
      <w:start w:val="1"/>
      <w:numFmt w:val="decimal"/>
      <w:lvlText w:val="%7."/>
      <w:lvlJc w:val="left"/>
      <w:pPr>
        <w:ind w:left="5980" w:hanging="360"/>
      </w:pPr>
    </w:lvl>
    <w:lvl w:ilvl="7" w:tplc="FFFFFFFF" w:tentative="1">
      <w:start w:val="1"/>
      <w:numFmt w:val="lowerLetter"/>
      <w:lvlText w:val="%8."/>
      <w:lvlJc w:val="left"/>
      <w:pPr>
        <w:ind w:left="6700" w:hanging="360"/>
      </w:pPr>
    </w:lvl>
    <w:lvl w:ilvl="8" w:tplc="FFFFFFFF" w:tentative="1">
      <w:start w:val="1"/>
      <w:numFmt w:val="lowerRoman"/>
      <w:lvlText w:val="%9."/>
      <w:lvlJc w:val="right"/>
      <w:pPr>
        <w:ind w:left="7420" w:hanging="180"/>
      </w:pPr>
    </w:lvl>
  </w:abstractNum>
  <w:abstractNum w:abstractNumId="13" w15:restartNumberingAfterBreak="0">
    <w:nsid w:val="45F05CC1"/>
    <w:multiLevelType w:val="hybridMultilevel"/>
    <w:tmpl w:val="F2A65532"/>
    <w:lvl w:ilvl="0" w:tplc="FFFFFFFF">
      <w:start w:val="1"/>
      <w:numFmt w:val="decimal"/>
      <w:lvlText w:val="%1)"/>
      <w:lvlJc w:val="left"/>
      <w:pPr>
        <w:ind w:left="1660" w:hanging="360"/>
      </w:pPr>
    </w:lvl>
    <w:lvl w:ilvl="1" w:tplc="FFFFFFFF" w:tentative="1">
      <w:start w:val="1"/>
      <w:numFmt w:val="lowerLetter"/>
      <w:lvlText w:val="%2."/>
      <w:lvlJc w:val="left"/>
      <w:pPr>
        <w:ind w:left="2380" w:hanging="360"/>
      </w:pPr>
    </w:lvl>
    <w:lvl w:ilvl="2" w:tplc="FFFFFFFF" w:tentative="1">
      <w:start w:val="1"/>
      <w:numFmt w:val="lowerRoman"/>
      <w:lvlText w:val="%3."/>
      <w:lvlJc w:val="right"/>
      <w:pPr>
        <w:ind w:left="3100" w:hanging="180"/>
      </w:pPr>
    </w:lvl>
    <w:lvl w:ilvl="3" w:tplc="FFFFFFFF" w:tentative="1">
      <w:start w:val="1"/>
      <w:numFmt w:val="decimal"/>
      <w:lvlText w:val="%4."/>
      <w:lvlJc w:val="left"/>
      <w:pPr>
        <w:ind w:left="3820" w:hanging="360"/>
      </w:pPr>
    </w:lvl>
    <w:lvl w:ilvl="4" w:tplc="FFFFFFFF" w:tentative="1">
      <w:start w:val="1"/>
      <w:numFmt w:val="lowerLetter"/>
      <w:lvlText w:val="%5."/>
      <w:lvlJc w:val="left"/>
      <w:pPr>
        <w:ind w:left="4540" w:hanging="360"/>
      </w:pPr>
    </w:lvl>
    <w:lvl w:ilvl="5" w:tplc="FFFFFFFF" w:tentative="1">
      <w:start w:val="1"/>
      <w:numFmt w:val="lowerRoman"/>
      <w:lvlText w:val="%6."/>
      <w:lvlJc w:val="right"/>
      <w:pPr>
        <w:ind w:left="5260" w:hanging="180"/>
      </w:pPr>
    </w:lvl>
    <w:lvl w:ilvl="6" w:tplc="FFFFFFFF" w:tentative="1">
      <w:start w:val="1"/>
      <w:numFmt w:val="decimal"/>
      <w:lvlText w:val="%7."/>
      <w:lvlJc w:val="left"/>
      <w:pPr>
        <w:ind w:left="5980" w:hanging="360"/>
      </w:pPr>
    </w:lvl>
    <w:lvl w:ilvl="7" w:tplc="FFFFFFFF" w:tentative="1">
      <w:start w:val="1"/>
      <w:numFmt w:val="lowerLetter"/>
      <w:lvlText w:val="%8."/>
      <w:lvlJc w:val="left"/>
      <w:pPr>
        <w:ind w:left="6700" w:hanging="360"/>
      </w:pPr>
    </w:lvl>
    <w:lvl w:ilvl="8" w:tplc="FFFFFFFF" w:tentative="1">
      <w:start w:val="1"/>
      <w:numFmt w:val="lowerRoman"/>
      <w:lvlText w:val="%9."/>
      <w:lvlJc w:val="right"/>
      <w:pPr>
        <w:ind w:left="7420" w:hanging="180"/>
      </w:pPr>
    </w:lvl>
  </w:abstractNum>
  <w:abstractNum w:abstractNumId="14" w15:restartNumberingAfterBreak="0">
    <w:nsid w:val="4C7F76AE"/>
    <w:multiLevelType w:val="hybridMultilevel"/>
    <w:tmpl w:val="F2A65532"/>
    <w:lvl w:ilvl="0" w:tplc="FFFFFFFF">
      <w:start w:val="1"/>
      <w:numFmt w:val="decimal"/>
      <w:lvlText w:val="%1)"/>
      <w:lvlJc w:val="left"/>
      <w:pPr>
        <w:ind w:left="1660" w:hanging="360"/>
      </w:pPr>
    </w:lvl>
    <w:lvl w:ilvl="1" w:tplc="FFFFFFFF" w:tentative="1">
      <w:start w:val="1"/>
      <w:numFmt w:val="lowerLetter"/>
      <w:lvlText w:val="%2."/>
      <w:lvlJc w:val="left"/>
      <w:pPr>
        <w:ind w:left="2380" w:hanging="360"/>
      </w:pPr>
    </w:lvl>
    <w:lvl w:ilvl="2" w:tplc="FFFFFFFF" w:tentative="1">
      <w:start w:val="1"/>
      <w:numFmt w:val="lowerRoman"/>
      <w:lvlText w:val="%3."/>
      <w:lvlJc w:val="right"/>
      <w:pPr>
        <w:ind w:left="3100" w:hanging="180"/>
      </w:pPr>
    </w:lvl>
    <w:lvl w:ilvl="3" w:tplc="FFFFFFFF" w:tentative="1">
      <w:start w:val="1"/>
      <w:numFmt w:val="decimal"/>
      <w:lvlText w:val="%4."/>
      <w:lvlJc w:val="left"/>
      <w:pPr>
        <w:ind w:left="3820" w:hanging="360"/>
      </w:pPr>
    </w:lvl>
    <w:lvl w:ilvl="4" w:tplc="FFFFFFFF" w:tentative="1">
      <w:start w:val="1"/>
      <w:numFmt w:val="lowerLetter"/>
      <w:lvlText w:val="%5."/>
      <w:lvlJc w:val="left"/>
      <w:pPr>
        <w:ind w:left="4540" w:hanging="360"/>
      </w:pPr>
    </w:lvl>
    <w:lvl w:ilvl="5" w:tplc="FFFFFFFF" w:tentative="1">
      <w:start w:val="1"/>
      <w:numFmt w:val="lowerRoman"/>
      <w:lvlText w:val="%6."/>
      <w:lvlJc w:val="right"/>
      <w:pPr>
        <w:ind w:left="5260" w:hanging="180"/>
      </w:pPr>
    </w:lvl>
    <w:lvl w:ilvl="6" w:tplc="FFFFFFFF" w:tentative="1">
      <w:start w:val="1"/>
      <w:numFmt w:val="decimal"/>
      <w:lvlText w:val="%7."/>
      <w:lvlJc w:val="left"/>
      <w:pPr>
        <w:ind w:left="5980" w:hanging="360"/>
      </w:pPr>
    </w:lvl>
    <w:lvl w:ilvl="7" w:tplc="FFFFFFFF" w:tentative="1">
      <w:start w:val="1"/>
      <w:numFmt w:val="lowerLetter"/>
      <w:lvlText w:val="%8."/>
      <w:lvlJc w:val="left"/>
      <w:pPr>
        <w:ind w:left="6700" w:hanging="360"/>
      </w:pPr>
    </w:lvl>
    <w:lvl w:ilvl="8" w:tplc="FFFFFFFF" w:tentative="1">
      <w:start w:val="1"/>
      <w:numFmt w:val="lowerRoman"/>
      <w:lvlText w:val="%9."/>
      <w:lvlJc w:val="right"/>
      <w:pPr>
        <w:ind w:left="7420" w:hanging="180"/>
      </w:pPr>
    </w:lvl>
  </w:abstractNum>
  <w:abstractNum w:abstractNumId="15" w15:restartNumberingAfterBreak="0">
    <w:nsid w:val="557778B7"/>
    <w:multiLevelType w:val="hybridMultilevel"/>
    <w:tmpl w:val="C1E88C6A"/>
    <w:lvl w:ilvl="0" w:tplc="07580FEE">
      <w:start w:val="1"/>
      <w:numFmt w:val="lowerRoman"/>
      <w:lvlText w:val="(%1)"/>
      <w:lvlJc w:val="left"/>
      <w:pPr>
        <w:ind w:left="2138" w:hanging="360"/>
      </w:pPr>
      <w:rPr>
        <w:rFonts w:hint="default"/>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16" w15:restartNumberingAfterBreak="0">
    <w:nsid w:val="624D74CA"/>
    <w:multiLevelType w:val="hybridMultilevel"/>
    <w:tmpl w:val="96AE0AF6"/>
    <w:lvl w:ilvl="0" w:tplc="FFFFFFFF">
      <w:start w:val="1"/>
      <w:numFmt w:val="decimal"/>
      <w:lvlText w:val="%1)"/>
      <w:lvlJc w:val="left"/>
      <w:pPr>
        <w:ind w:left="1660" w:hanging="360"/>
      </w:pPr>
    </w:lvl>
    <w:lvl w:ilvl="1" w:tplc="FFFFFFFF" w:tentative="1">
      <w:start w:val="1"/>
      <w:numFmt w:val="lowerLetter"/>
      <w:lvlText w:val="%2."/>
      <w:lvlJc w:val="left"/>
      <w:pPr>
        <w:ind w:left="2380" w:hanging="360"/>
      </w:pPr>
    </w:lvl>
    <w:lvl w:ilvl="2" w:tplc="FFFFFFFF" w:tentative="1">
      <w:start w:val="1"/>
      <w:numFmt w:val="lowerRoman"/>
      <w:lvlText w:val="%3."/>
      <w:lvlJc w:val="right"/>
      <w:pPr>
        <w:ind w:left="3100" w:hanging="180"/>
      </w:pPr>
    </w:lvl>
    <w:lvl w:ilvl="3" w:tplc="FFFFFFFF" w:tentative="1">
      <w:start w:val="1"/>
      <w:numFmt w:val="decimal"/>
      <w:lvlText w:val="%4."/>
      <w:lvlJc w:val="left"/>
      <w:pPr>
        <w:ind w:left="3820" w:hanging="360"/>
      </w:pPr>
    </w:lvl>
    <w:lvl w:ilvl="4" w:tplc="FFFFFFFF" w:tentative="1">
      <w:start w:val="1"/>
      <w:numFmt w:val="lowerLetter"/>
      <w:lvlText w:val="%5."/>
      <w:lvlJc w:val="left"/>
      <w:pPr>
        <w:ind w:left="4540" w:hanging="360"/>
      </w:pPr>
    </w:lvl>
    <w:lvl w:ilvl="5" w:tplc="FFFFFFFF" w:tentative="1">
      <w:start w:val="1"/>
      <w:numFmt w:val="lowerRoman"/>
      <w:lvlText w:val="%6."/>
      <w:lvlJc w:val="right"/>
      <w:pPr>
        <w:ind w:left="5260" w:hanging="180"/>
      </w:pPr>
    </w:lvl>
    <w:lvl w:ilvl="6" w:tplc="FFFFFFFF" w:tentative="1">
      <w:start w:val="1"/>
      <w:numFmt w:val="decimal"/>
      <w:lvlText w:val="%7."/>
      <w:lvlJc w:val="left"/>
      <w:pPr>
        <w:ind w:left="5980" w:hanging="360"/>
      </w:pPr>
    </w:lvl>
    <w:lvl w:ilvl="7" w:tplc="FFFFFFFF" w:tentative="1">
      <w:start w:val="1"/>
      <w:numFmt w:val="lowerLetter"/>
      <w:lvlText w:val="%8."/>
      <w:lvlJc w:val="left"/>
      <w:pPr>
        <w:ind w:left="6700" w:hanging="360"/>
      </w:pPr>
    </w:lvl>
    <w:lvl w:ilvl="8" w:tplc="FFFFFFFF" w:tentative="1">
      <w:start w:val="1"/>
      <w:numFmt w:val="lowerRoman"/>
      <w:lvlText w:val="%9."/>
      <w:lvlJc w:val="right"/>
      <w:pPr>
        <w:ind w:left="7420" w:hanging="180"/>
      </w:pPr>
    </w:lvl>
  </w:abstractNum>
  <w:abstractNum w:abstractNumId="17" w15:restartNumberingAfterBreak="0">
    <w:nsid w:val="6BF97AA3"/>
    <w:multiLevelType w:val="hybridMultilevel"/>
    <w:tmpl w:val="49301542"/>
    <w:lvl w:ilvl="0" w:tplc="40090015">
      <w:start w:val="1"/>
      <w:numFmt w:val="upperLetter"/>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18" w15:restartNumberingAfterBreak="0">
    <w:nsid w:val="72C77B9A"/>
    <w:multiLevelType w:val="hybridMultilevel"/>
    <w:tmpl w:val="DF2A0178"/>
    <w:lvl w:ilvl="0" w:tplc="40090017">
      <w:start w:val="1"/>
      <w:numFmt w:val="lowerLetter"/>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9" w15:restartNumberingAfterBreak="0">
    <w:nsid w:val="749D7A1B"/>
    <w:multiLevelType w:val="hybridMultilevel"/>
    <w:tmpl w:val="6F5A6C06"/>
    <w:lvl w:ilvl="0" w:tplc="40090019">
      <w:start w:val="1"/>
      <w:numFmt w:val="lowerLetter"/>
      <w:lvlText w:val="%1."/>
      <w:lvlJc w:val="left"/>
      <w:pPr>
        <w:ind w:left="2380" w:hanging="360"/>
      </w:pPr>
    </w:lvl>
    <w:lvl w:ilvl="1" w:tplc="40090019" w:tentative="1">
      <w:start w:val="1"/>
      <w:numFmt w:val="lowerLetter"/>
      <w:lvlText w:val="%2."/>
      <w:lvlJc w:val="left"/>
      <w:pPr>
        <w:ind w:left="3100" w:hanging="360"/>
      </w:pPr>
    </w:lvl>
    <w:lvl w:ilvl="2" w:tplc="4009001B" w:tentative="1">
      <w:start w:val="1"/>
      <w:numFmt w:val="lowerRoman"/>
      <w:lvlText w:val="%3."/>
      <w:lvlJc w:val="right"/>
      <w:pPr>
        <w:ind w:left="3820" w:hanging="180"/>
      </w:pPr>
    </w:lvl>
    <w:lvl w:ilvl="3" w:tplc="4009000F" w:tentative="1">
      <w:start w:val="1"/>
      <w:numFmt w:val="decimal"/>
      <w:lvlText w:val="%4."/>
      <w:lvlJc w:val="left"/>
      <w:pPr>
        <w:ind w:left="4540" w:hanging="360"/>
      </w:pPr>
    </w:lvl>
    <w:lvl w:ilvl="4" w:tplc="40090019" w:tentative="1">
      <w:start w:val="1"/>
      <w:numFmt w:val="lowerLetter"/>
      <w:lvlText w:val="%5."/>
      <w:lvlJc w:val="left"/>
      <w:pPr>
        <w:ind w:left="5260" w:hanging="360"/>
      </w:pPr>
    </w:lvl>
    <w:lvl w:ilvl="5" w:tplc="4009001B" w:tentative="1">
      <w:start w:val="1"/>
      <w:numFmt w:val="lowerRoman"/>
      <w:lvlText w:val="%6."/>
      <w:lvlJc w:val="right"/>
      <w:pPr>
        <w:ind w:left="5980" w:hanging="180"/>
      </w:pPr>
    </w:lvl>
    <w:lvl w:ilvl="6" w:tplc="4009000F" w:tentative="1">
      <w:start w:val="1"/>
      <w:numFmt w:val="decimal"/>
      <w:lvlText w:val="%7."/>
      <w:lvlJc w:val="left"/>
      <w:pPr>
        <w:ind w:left="6700" w:hanging="360"/>
      </w:pPr>
    </w:lvl>
    <w:lvl w:ilvl="7" w:tplc="40090019" w:tentative="1">
      <w:start w:val="1"/>
      <w:numFmt w:val="lowerLetter"/>
      <w:lvlText w:val="%8."/>
      <w:lvlJc w:val="left"/>
      <w:pPr>
        <w:ind w:left="7420" w:hanging="360"/>
      </w:pPr>
    </w:lvl>
    <w:lvl w:ilvl="8" w:tplc="4009001B" w:tentative="1">
      <w:start w:val="1"/>
      <w:numFmt w:val="lowerRoman"/>
      <w:lvlText w:val="%9."/>
      <w:lvlJc w:val="right"/>
      <w:pPr>
        <w:ind w:left="8140" w:hanging="180"/>
      </w:pPr>
    </w:lvl>
  </w:abstractNum>
  <w:abstractNum w:abstractNumId="20" w15:restartNumberingAfterBreak="0">
    <w:nsid w:val="7AC63F17"/>
    <w:multiLevelType w:val="hybridMultilevel"/>
    <w:tmpl w:val="96AE0AF6"/>
    <w:lvl w:ilvl="0" w:tplc="40090011">
      <w:start w:val="1"/>
      <w:numFmt w:val="decimal"/>
      <w:lvlText w:val="%1)"/>
      <w:lvlJc w:val="left"/>
      <w:pPr>
        <w:ind w:left="1660" w:hanging="360"/>
      </w:pPr>
    </w:lvl>
    <w:lvl w:ilvl="1" w:tplc="40090019">
      <w:start w:val="1"/>
      <w:numFmt w:val="lowerLetter"/>
      <w:lvlText w:val="%2."/>
      <w:lvlJc w:val="left"/>
      <w:pPr>
        <w:ind w:left="2380" w:hanging="360"/>
      </w:pPr>
    </w:lvl>
    <w:lvl w:ilvl="2" w:tplc="4009001B" w:tentative="1">
      <w:start w:val="1"/>
      <w:numFmt w:val="lowerRoman"/>
      <w:lvlText w:val="%3."/>
      <w:lvlJc w:val="right"/>
      <w:pPr>
        <w:ind w:left="3100" w:hanging="180"/>
      </w:pPr>
    </w:lvl>
    <w:lvl w:ilvl="3" w:tplc="4009000F" w:tentative="1">
      <w:start w:val="1"/>
      <w:numFmt w:val="decimal"/>
      <w:lvlText w:val="%4."/>
      <w:lvlJc w:val="left"/>
      <w:pPr>
        <w:ind w:left="3820" w:hanging="360"/>
      </w:pPr>
    </w:lvl>
    <w:lvl w:ilvl="4" w:tplc="40090019" w:tentative="1">
      <w:start w:val="1"/>
      <w:numFmt w:val="lowerLetter"/>
      <w:lvlText w:val="%5."/>
      <w:lvlJc w:val="left"/>
      <w:pPr>
        <w:ind w:left="4540" w:hanging="360"/>
      </w:pPr>
    </w:lvl>
    <w:lvl w:ilvl="5" w:tplc="4009001B" w:tentative="1">
      <w:start w:val="1"/>
      <w:numFmt w:val="lowerRoman"/>
      <w:lvlText w:val="%6."/>
      <w:lvlJc w:val="right"/>
      <w:pPr>
        <w:ind w:left="5260" w:hanging="180"/>
      </w:pPr>
    </w:lvl>
    <w:lvl w:ilvl="6" w:tplc="4009000F" w:tentative="1">
      <w:start w:val="1"/>
      <w:numFmt w:val="decimal"/>
      <w:lvlText w:val="%7."/>
      <w:lvlJc w:val="left"/>
      <w:pPr>
        <w:ind w:left="5980" w:hanging="360"/>
      </w:pPr>
    </w:lvl>
    <w:lvl w:ilvl="7" w:tplc="40090019" w:tentative="1">
      <w:start w:val="1"/>
      <w:numFmt w:val="lowerLetter"/>
      <w:lvlText w:val="%8."/>
      <w:lvlJc w:val="left"/>
      <w:pPr>
        <w:ind w:left="6700" w:hanging="360"/>
      </w:pPr>
    </w:lvl>
    <w:lvl w:ilvl="8" w:tplc="4009001B" w:tentative="1">
      <w:start w:val="1"/>
      <w:numFmt w:val="lowerRoman"/>
      <w:lvlText w:val="%9."/>
      <w:lvlJc w:val="right"/>
      <w:pPr>
        <w:ind w:left="7420" w:hanging="180"/>
      </w:pPr>
    </w:lvl>
  </w:abstractNum>
  <w:abstractNum w:abstractNumId="21" w15:restartNumberingAfterBreak="0">
    <w:nsid w:val="7CAE0545"/>
    <w:multiLevelType w:val="hybridMultilevel"/>
    <w:tmpl w:val="95C8BF16"/>
    <w:lvl w:ilvl="0" w:tplc="61F6B006">
      <w:numFmt w:val="bullet"/>
      <w:lvlText w:val="•"/>
      <w:lvlJc w:val="left"/>
      <w:pPr>
        <w:ind w:left="940" w:hanging="360"/>
      </w:pPr>
      <w:rPr>
        <w:rFonts w:hint="default"/>
        <w:w w:val="100"/>
        <w:lang w:val="en-US" w:eastAsia="en-US" w:bidi="ar-SA"/>
      </w:rPr>
    </w:lvl>
    <w:lvl w:ilvl="1" w:tplc="4FCCCD50">
      <w:numFmt w:val="bullet"/>
      <w:lvlText w:val="•"/>
      <w:lvlJc w:val="left"/>
      <w:pPr>
        <w:ind w:left="1818" w:hanging="360"/>
      </w:pPr>
      <w:rPr>
        <w:rFonts w:hint="default"/>
        <w:lang w:val="en-US" w:eastAsia="en-US" w:bidi="ar-SA"/>
      </w:rPr>
    </w:lvl>
    <w:lvl w:ilvl="2" w:tplc="1C80DB78">
      <w:numFmt w:val="bullet"/>
      <w:lvlText w:val="•"/>
      <w:lvlJc w:val="left"/>
      <w:pPr>
        <w:ind w:left="2697" w:hanging="360"/>
      </w:pPr>
      <w:rPr>
        <w:rFonts w:hint="default"/>
        <w:lang w:val="en-US" w:eastAsia="en-US" w:bidi="ar-SA"/>
      </w:rPr>
    </w:lvl>
    <w:lvl w:ilvl="3" w:tplc="27A6516C">
      <w:numFmt w:val="bullet"/>
      <w:lvlText w:val="•"/>
      <w:lvlJc w:val="left"/>
      <w:pPr>
        <w:ind w:left="3576" w:hanging="360"/>
      </w:pPr>
      <w:rPr>
        <w:rFonts w:hint="default"/>
        <w:lang w:val="en-US" w:eastAsia="en-US" w:bidi="ar-SA"/>
      </w:rPr>
    </w:lvl>
    <w:lvl w:ilvl="4" w:tplc="EC261658">
      <w:numFmt w:val="bullet"/>
      <w:lvlText w:val="•"/>
      <w:lvlJc w:val="left"/>
      <w:pPr>
        <w:ind w:left="4455" w:hanging="360"/>
      </w:pPr>
      <w:rPr>
        <w:rFonts w:hint="default"/>
        <w:lang w:val="en-US" w:eastAsia="en-US" w:bidi="ar-SA"/>
      </w:rPr>
    </w:lvl>
    <w:lvl w:ilvl="5" w:tplc="9BAE0A10">
      <w:numFmt w:val="bullet"/>
      <w:lvlText w:val="•"/>
      <w:lvlJc w:val="left"/>
      <w:pPr>
        <w:ind w:left="5334" w:hanging="360"/>
      </w:pPr>
      <w:rPr>
        <w:rFonts w:hint="default"/>
        <w:lang w:val="en-US" w:eastAsia="en-US" w:bidi="ar-SA"/>
      </w:rPr>
    </w:lvl>
    <w:lvl w:ilvl="6" w:tplc="5E14A9CE">
      <w:numFmt w:val="bullet"/>
      <w:lvlText w:val="•"/>
      <w:lvlJc w:val="left"/>
      <w:pPr>
        <w:ind w:left="6213" w:hanging="360"/>
      </w:pPr>
      <w:rPr>
        <w:rFonts w:hint="default"/>
        <w:lang w:val="en-US" w:eastAsia="en-US" w:bidi="ar-SA"/>
      </w:rPr>
    </w:lvl>
    <w:lvl w:ilvl="7" w:tplc="ADC4ADE4">
      <w:numFmt w:val="bullet"/>
      <w:lvlText w:val="•"/>
      <w:lvlJc w:val="left"/>
      <w:pPr>
        <w:ind w:left="7092" w:hanging="360"/>
      </w:pPr>
      <w:rPr>
        <w:rFonts w:hint="default"/>
        <w:lang w:val="en-US" w:eastAsia="en-US" w:bidi="ar-SA"/>
      </w:rPr>
    </w:lvl>
    <w:lvl w:ilvl="8" w:tplc="A796C69E">
      <w:numFmt w:val="bullet"/>
      <w:lvlText w:val="•"/>
      <w:lvlJc w:val="left"/>
      <w:pPr>
        <w:ind w:left="7971" w:hanging="360"/>
      </w:pPr>
      <w:rPr>
        <w:rFonts w:hint="default"/>
        <w:lang w:val="en-US" w:eastAsia="en-US" w:bidi="ar-SA"/>
      </w:rPr>
    </w:lvl>
  </w:abstractNum>
  <w:abstractNum w:abstractNumId="22" w15:restartNumberingAfterBreak="0">
    <w:nsid w:val="7F7B5F6C"/>
    <w:multiLevelType w:val="multilevel"/>
    <w:tmpl w:val="0D9460CA"/>
    <w:lvl w:ilvl="0">
      <w:start w:val="5"/>
      <w:numFmt w:val="decimal"/>
      <w:lvlText w:val="%1"/>
      <w:lvlJc w:val="left"/>
      <w:pPr>
        <w:ind w:left="671" w:hanging="452"/>
      </w:pPr>
      <w:rPr>
        <w:rFonts w:ascii="Cambria" w:eastAsia="Cambria" w:hAnsi="Cambria" w:cs="Cambria" w:hint="default"/>
        <w:b/>
        <w:bCs/>
        <w:w w:val="100"/>
        <w:sz w:val="22"/>
        <w:szCs w:val="22"/>
        <w:lang w:val="en-US" w:eastAsia="en-US" w:bidi="ar-SA"/>
      </w:rPr>
    </w:lvl>
    <w:lvl w:ilvl="1">
      <w:start w:val="1"/>
      <w:numFmt w:val="decimal"/>
      <w:lvlText w:val="%1.%2"/>
      <w:lvlJc w:val="left"/>
      <w:pPr>
        <w:ind w:left="1660" w:hanging="989"/>
        <w:jc w:val="right"/>
      </w:pPr>
      <w:rPr>
        <w:rFonts w:hint="default"/>
        <w:w w:val="100"/>
        <w:lang w:val="en-US" w:eastAsia="en-US" w:bidi="ar-SA"/>
      </w:rPr>
    </w:lvl>
    <w:lvl w:ilvl="2">
      <w:numFmt w:val="bullet"/>
      <w:lvlText w:val="•"/>
      <w:lvlJc w:val="left"/>
      <w:pPr>
        <w:ind w:left="2556" w:hanging="989"/>
      </w:pPr>
      <w:rPr>
        <w:rFonts w:hint="default"/>
        <w:lang w:val="en-US" w:eastAsia="en-US" w:bidi="ar-SA"/>
      </w:rPr>
    </w:lvl>
    <w:lvl w:ilvl="3">
      <w:numFmt w:val="bullet"/>
      <w:lvlText w:val="•"/>
      <w:lvlJc w:val="left"/>
      <w:pPr>
        <w:ind w:left="3453" w:hanging="989"/>
      </w:pPr>
      <w:rPr>
        <w:rFonts w:hint="default"/>
        <w:lang w:val="en-US" w:eastAsia="en-US" w:bidi="ar-SA"/>
      </w:rPr>
    </w:lvl>
    <w:lvl w:ilvl="4">
      <w:numFmt w:val="bullet"/>
      <w:lvlText w:val="•"/>
      <w:lvlJc w:val="left"/>
      <w:pPr>
        <w:ind w:left="4349" w:hanging="989"/>
      </w:pPr>
      <w:rPr>
        <w:rFonts w:hint="default"/>
        <w:lang w:val="en-US" w:eastAsia="en-US" w:bidi="ar-SA"/>
      </w:rPr>
    </w:lvl>
    <w:lvl w:ilvl="5">
      <w:numFmt w:val="bullet"/>
      <w:lvlText w:val="•"/>
      <w:lvlJc w:val="left"/>
      <w:pPr>
        <w:ind w:left="5246" w:hanging="989"/>
      </w:pPr>
      <w:rPr>
        <w:rFonts w:hint="default"/>
        <w:lang w:val="en-US" w:eastAsia="en-US" w:bidi="ar-SA"/>
      </w:rPr>
    </w:lvl>
    <w:lvl w:ilvl="6">
      <w:numFmt w:val="bullet"/>
      <w:lvlText w:val="•"/>
      <w:lvlJc w:val="left"/>
      <w:pPr>
        <w:ind w:left="6142" w:hanging="989"/>
      </w:pPr>
      <w:rPr>
        <w:rFonts w:hint="default"/>
        <w:lang w:val="en-US" w:eastAsia="en-US" w:bidi="ar-SA"/>
      </w:rPr>
    </w:lvl>
    <w:lvl w:ilvl="7">
      <w:numFmt w:val="bullet"/>
      <w:lvlText w:val="•"/>
      <w:lvlJc w:val="left"/>
      <w:pPr>
        <w:ind w:left="7039" w:hanging="989"/>
      </w:pPr>
      <w:rPr>
        <w:rFonts w:hint="default"/>
        <w:lang w:val="en-US" w:eastAsia="en-US" w:bidi="ar-SA"/>
      </w:rPr>
    </w:lvl>
    <w:lvl w:ilvl="8">
      <w:numFmt w:val="bullet"/>
      <w:lvlText w:val="•"/>
      <w:lvlJc w:val="left"/>
      <w:pPr>
        <w:ind w:left="7935" w:hanging="989"/>
      </w:pPr>
      <w:rPr>
        <w:rFonts w:hint="default"/>
        <w:lang w:val="en-US" w:eastAsia="en-US" w:bidi="ar-SA"/>
      </w:rPr>
    </w:lvl>
  </w:abstractNum>
  <w:num w:numId="1" w16cid:durableId="1453478862">
    <w:abstractNumId w:val="4"/>
  </w:num>
  <w:num w:numId="2" w16cid:durableId="1404373886">
    <w:abstractNumId w:val="5"/>
  </w:num>
  <w:num w:numId="3" w16cid:durableId="586304043">
    <w:abstractNumId w:val="2"/>
  </w:num>
  <w:num w:numId="4" w16cid:durableId="906038924">
    <w:abstractNumId w:val="6"/>
  </w:num>
  <w:num w:numId="5" w16cid:durableId="1220283253">
    <w:abstractNumId w:val="18"/>
  </w:num>
  <w:num w:numId="6" w16cid:durableId="1792552495">
    <w:abstractNumId w:val="21"/>
  </w:num>
  <w:num w:numId="7" w16cid:durableId="1182284496">
    <w:abstractNumId w:val="3"/>
  </w:num>
  <w:num w:numId="8" w16cid:durableId="511647442">
    <w:abstractNumId w:val="1"/>
  </w:num>
  <w:num w:numId="9" w16cid:durableId="1032534710">
    <w:abstractNumId w:val="11"/>
  </w:num>
  <w:num w:numId="10" w16cid:durableId="1549536488">
    <w:abstractNumId w:val="22"/>
  </w:num>
  <w:num w:numId="11" w16cid:durableId="669218354">
    <w:abstractNumId w:val="0"/>
  </w:num>
  <w:num w:numId="12" w16cid:durableId="1821263563">
    <w:abstractNumId w:val="20"/>
  </w:num>
  <w:num w:numId="13" w16cid:durableId="148178436">
    <w:abstractNumId w:val="17"/>
  </w:num>
  <w:num w:numId="14" w16cid:durableId="1086924302">
    <w:abstractNumId w:val="15"/>
  </w:num>
  <w:num w:numId="15" w16cid:durableId="1579897438">
    <w:abstractNumId w:val="12"/>
  </w:num>
  <w:num w:numId="16" w16cid:durableId="1090541986">
    <w:abstractNumId w:val="14"/>
  </w:num>
  <w:num w:numId="17" w16cid:durableId="473373569">
    <w:abstractNumId w:val="13"/>
  </w:num>
  <w:num w:numId="18" w16cid:durableId="962687360">
    <w:abstractNumId w:val="16"/>
  </w:num>
  <w:num w:numId="19" w16cid:durableId="250049263">
    <w:abstractNumId w:val="8"/>
  </w:num>
  <w:num w:numId="20" w16cid:durableId="504173738">
    <w:abstractNumId w:val="19"/>
  </w:num>
  <w:num w:numId="21" w16cid:durableId="1759322774">
    <w:abstractNumId w:val="7"/>
  </w:num>
  <w:num w:numId="22" w16cid:durableId="432671830">
    <w:abstractNumId w:val="9"/>
  </w:num>
  <w:num w:numId="23" w16cid:durableId="5562059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3D"/>
    <w:rsid w:val="00002477"/>
    <w:rsid w:val="000057E3"/>
    <w:rsid w:val="00005B91"/>
    <w:rsid w:val="00005E13"/>
    <w:rsid w:val="00013BB8"/>
    <w:rsid w:val="000150AE"/>
    <w:rsid w:val="000219E5"/>
    <w:rsid w:val="00021EB6"/>
    <w:rsid w:val="000236E0"/>
    <w:rsid w:val="0004669D"/>
    <w:rsid w:val="0005027B"/>
    <w:rsid w:val="00051E01"/>
    <w:rsid w:val="000572CC"/>
    <w:rsid w:val="00062BCD"/>
    <w:rsid w:val="00065A9D"/>
    <w:rsid w:val="00073391"/>
    <w:rsid w:val="000747BD"/>
    <w:rsid w:val="0008201E"/>
    <w:rsid w:val="00082FE3"/>
    <w:rsid w:val="00091AFB"/>
    <w:rsid w:val="0009426E"/>
    <w:rsid w:val="00094A78"/>
    <w:rsid w:val="000A1F0E"/>
    <w:rsid w:val="000B15BF"/>
    <w:rsid w:val="000B242F"/>
    <w:rsid w:val="000B47B1"/>
    <w:rsid w:val="000B7E6E"/>
    <w:rsid w:val="000C1598"/>
    <w:rsid w:val="000C7800"/>
    <w:rsid w:val="000D0184"/>
    <w:rsid w:val="000D3E84"/>
    <w:rsid w:val="000D4BC7"/>
    <w:rsid w:val="000D7B80"/>
    <w:rsid w:val="000F3952"/>
    <w:rsid w:val="000F39A0"/>
    <w:rsid w:val="000F7885"/>
    <w:rsid w:val="00106CD0"/>
    <w:rsid w:val="001146DE"/>
    <w:rsid w:val="00136577"/>
    <w:rsid w:val="0017013C"/>
    <w:rsid w:val="00171377"/>
    <w:rsid w:val="0017170A"/>
    <w:rsid w:val="00171CCB"/>
    <w:rsid w:val="0017598D"/>
    <w:rsid w:val="001853FE"/>
    <w:rsid w:val="00186A6B"/>
    <w:rsid w:val="001875B8"/>
    <w:rsid w:val="00194CC0"/>
    <w:rsid w:val="001A1FB2"/>
    <w:rsid w:val="001A4621"/>
    <w:rsid w:val="001B37F4"/>
    <w:rsid w:val="001B7800"/>
    <w:rsid w:val="001C35D8"/>
    <w:rsid w:val="001D1687"/>
    <w:rsid w:val="001E39B9"/>
    <w:rsid w:val="001E6A26"/>
    <w:rsid w:val="001F15C0"/>
    <w:rsid w:val="001F4DBF"/>
    <w:rsid w:val="001F5138"/>
    <w:rsid w:val="001F7505"/>
    <w:rsid w:val="0020578F"/>
    <w:rsid w:val="00206397"/>
    <w:rsid w:val="00206F29"/>
    <w:rsid w:val="00212511"/>
    <w:rsid w:val="002306F1"/>
    <w:rsid w:val="0023686C"/>
    <w:rsid w:val="0023699F"/>
    <w:rsid w:val="002436E3"/>
    <w:rsid w:val="002444F7"/>
    <w:rsid w:val="00250F78"/>
    <w:rsid w:val="00251B6C"/>
    <w:rsid w:val="002536F4"/>
    <w:rsid w:val="002677BE"/>
    <w:rsid w:val="002715D6"/>
    <w:rsid w:val="00280556"/>
    <w:rsid w:val="00292E10"/>
    <w:rsid w:val="00294942"/>
    <w:rsid w:val="002956BA"/>
    <w:rsid w:val="002B4985"/>
    <w:rsid w:val="002B7BFD"/>
    <w:rsid w:val="002C3866"/>
    <w:rsid w:val="002C525F"/>
    <w:rsid w:val="002D0658"/>
    <w:rsid w:val="002D4087"/>
    <w:rsid w:val="002D6137"/>
    <w:rsid w:val="002E04D8"/>
    <w:rsid w:val="002E1488"/>
    <w:rsid w:val="002E5FB9"/>
    <w:rsid w:val="002F60B6"/>
    <w:rsid w:val="003048D5"/>
    <w:rsid w:val="0031014C"/>
    <w:rsid w:val="003106D3"/>
    <w:rsid w:val="00316C12"/>
    <w:rsid w:val="00321A9E"/>
    <w:rsid w:val="00321ABB"/>
    <w:rsid w:val="00322613"/>
    <w:rsid w:val="003273FC"/>
    <w:rsid w:val="003327B2"/>
    <w:rsid w:val="00333ABE"/>
    <w:rsid w:val="00334943"/>
    <w:rsid w:val="00334E14"/>
    <w:rsid w:val="00340AC1"/>
    <w:rsid w:val="00343B02"/>
    <w:rsid w:val="00346AD4"/>
    <w:rsid w:val="003537D2"/>
    <w:rsid w:val="003545BE"/>
    <w:rsid w:val="00355914"/>
    <w:rsid w:val="00360BC4"/>
    <w:rsid w:val="00360E27"/>
    <w:rsid w:val="003655C7"/>
    <w:rsid w:val="00366D7F"/>
    <w:rsid w:val="003746E2"/>
    <w:rsid w:val="003753C8"/>
    <w:rsid w:val="00381562"/>
    <w:rsid w:val="00383923"/>
    <w:rsid w:val="00387F3E"/>
    <w:rsid w:val="003A1D55"/>
    <w:rsid w:val="003A6449"/>
    <w:rsid w:val="003B278A"/>
    <w:rsid w:val="003C1C8E"/>
    <w:rsid w:val="003C4018"/>
    <w:rsid w:val="003C6D59"/>
    <w:rsid w:val="003D6159"/>
    <w:rsid w:val="003E7283"/>
    <w:rsid w:val="00401F9F"/>
    <w:rsid w:val="004029C4"/>
    <w:rsid w:val="0040311B"/>
    <w:rsid w:val="00403781"/>
    <w:rsid w:val="00413FA3"/>
    <w:rsid w:val="00416A59"/>
    <w:rsid w:val="0042265D"/>
    <w:rsid w:val="00422C71"/>
    <w:rsid w:val="0042702D"/>
    <w:rsid w:val="00427424"/>
    <w:rsid w:val="00432F7A"/>
    <w:rsid w:val="00434F8F"/>
    <w:rsid w:val="00437A34"/>
    <w:rsid w:val="00442158"/>
    <w:rsid w:val="0044228C"/>
    <w:rsid w:val="004422EF"/>
    <w:rsid w:val="00444C2D"/>
    <w:rsid w:val="00452BDD"/>
    <w:rsid w:val="00457D0D"/>
    <w:rsid w:val="004611F0"/>
    <w:rsid w:val="004705B0"/>
    <w:rsid w:val="00473062"/>
    <w:rsid w:val="00481AB1"/>
    <w:rsid w:val="00485C71"/>
    <w:rsid w:val="00491DF1"/>
    <w:rsid w:val="004962D5"/>
    <w:rsid w:val="004A012D"/>
    <w:rsid w:val="004A03D1"/>
    <w:rsid w:val="004A31ED"/>
    <w:rsid w:val="004B64C2"/>
    <w:rsid w:val="004B7DCF"/>
    <w:rsid w:val="004C63A2"/>
    <w:rsid w:val="004C7765"/>
    <w:rsid w:val="004D2265"/>
    <w:rsid w:val="004D2F6B"/>
    <w:rsid w:val="004D3A01"/>
    <w:rsid w:val="004D47FC"/>
    <w:rsid w:val="004E01A1"/>
    <w:rsid w:val="004F3264"/>
    <w:rsid w:val="00503185"/>
    <w:rsid w:val="005035C8"/>
    <w:rsid w:val="00513A0C"/>
    <w:rsid w:val="00516AF8"/>
    <w:rsid w:val="00532BBE"/>
    <w:rsid w:val="0054572C"/>
    <w:rsid w:val="00560569"/>
    <w:rsid w:val="005700A2"/>
    <w:rsid w:val="0057546D"/>
    <w:rsid w:val="005810DC"/>
    <w:rsid w:val="00586958"/>
    <w:rsid w:val="00586F3B"/>
    <w:rsid w:val="005873D9"/>
    <w:rsid w:val="00594491"/>
    <w:rsid w:val="00597F01"/>
    <w:rsid w:val="005C60DC"/>
    <w:rsid w:val="005D02DA"/>
    <w:rsid w:val="005D1D3B"/>
    <w:rsid w:val="005D2E9E"/>
    <w:rsid w:val="005D4264"/>
    <w:rsid w:val="005E5152"/>
    <w:rsid w:val="005F1EE3"/>
    <w:rsid w:val="005F265A"/>
    <w:rsid w:val="00602E7C"/>
    <w:rsid w:val="0060337B"/>
    <w:rsid w:val="00604693"/>
    <w:rsid w:val="00606CB6"/>
    <w:rsid w:val="00613BF6"/>
    <w:rsid w:val="00614BD2"/>
    <w:rsid w:val="00615981"/>
    <w:rsid w:val="006259BF"/>
    <w:rsid w:val="00626EBC"/>
    <w:rsid w:val="00635E65"/>
    <w:rsid w:val="0063650E"/>
    <w:rsid w:val="00636B9D"/>
    <w:rsid w:val="00637383"/>
    <w:rsid w:val="006477DE"/>
    <w:rsid w:val="0067174C"/>
    <w:rsid w:val="0068080A"/>
    <w:rsid w:val="0069426E"/>
    <w:rsid w:val="00697363"/>
    <w:rsid w:val="006A2E47"/>
    <w:rsid w:val="006C05A0"/>
    <w:rsid w:val="006C099C"/>
    <w:rsid w:val="006C3710"/>
    <w:rsid w:val="006C575D"/>
    <w:rsid w:val="006D2F89"/>
    <w:rsid w:val="006D352B"/>
    <w:rsid w:val="006D499A"/>
    <w:rsid w:val="006D545A"/>
    <w:rsid w:val="006E15BC"/>
    <w:rsid w:val="006E1DF4"/>
    <w:rsid w:val="006E3A81"/>
    <w:rsid w:val="00703694"/>
    <w:rsid w:val="00705A56"/>
    <w:rsid w:val="007136F0"/>
    <w:rsid w:val="00715122"/>
    <w:rsid w:val="00716759"/>
    <w:rsid w:val="00722DE2"/>
    <w:rsid w:val="00724C32"/>
    <w:rsid w:val="00744375"/>
    <w:rsid w:val="0074742B"/>
    <w:rsid w:val="007535B0"/>
    <w:rsid w:val="007727A0"/>
    <w:rsid w:val="0077588B"/>
    <w:rsid w:val="0078104A"/>
    <w:rsid w:val="00783527"/>
    <w:rsid w:val="007905D7"/>
    <w:rsid w:val="00794AF4"/>
    <w:rsid w:val="007954A1"/>
    <w:rsid w:val="007A7415"/>
    <w:rsid w:val="007B34BD"/>
    <w:rsid w:val="007C60F1"/>
    <w:rsid w:val="007C7F8F"/>
    <w:rsid w:val="007D27AB"/>
    <w:rsid w:val="007D42A2"/>
    <w:rsid w:val="007D50BC"/>
    <w:rsid w:val="007E0A30"/>
    <w:rsid w:val="007E34A4"/>
    <w:rsid w:val="007E6A21"/>
    <w:rsid w:val="008103E2"/>
    <w:rsid w:val="00813832"/>
    <w:rsid w:val="00824196"/>
    <w:rsid w:val="00826927"/>
    <w:rsid w:val="00835724"/>
    <w:rsid w:val="00836E62"/>
    <w:rsid w:val="00843B3E"/>
    <w:rsid w:val="00845E95"/>
    <w:rsid w:val="008468BF"/>
    <w:rsid w:val="00847A5A"/>
    <w:rsid w:val="00866097"/>
    <w:rsid w:val="00867FC6"/>
    <w:rsid w:val="00870016"/>
    <w:rsid w:val="008747D2"/>
    <w:rsid w:val="008823F5"/>
    <w:rsid w:val="00882C92"/>
    <w:rsid w:val="00890500"/>
    <w:rsid w:val="00897C81"/>
    <w:rsid w:val="008A3139"/>
    <w:rsid w:val="008B04FF"/>
    <w:rsid w:val="008D61C0"/>
    <w:rsid w:val="008F01C3"/>
    <w:rsid w:val="008F37D7"/>
    <w:rsid w:val="008F5B8E"/>
    <w:rsid w:val="008F74D0"/>
    <w:rsid w:val="00905D87"/>
    <w:rsid w:val="00913399"/>
    <w:rsid w:val="00917004"/>
    <w:rsid w:val="0093392C"/>
    <w:rsid w:val="00943185"/>
    <w:rsid w:val="0095510B"/>
    <w:rsid w:val="00960D92"/>
    <w:rsid w:val="00983817"/>
    <w:rsid w:val="00985D15"/>
    <w:rsid w:val="0098775D"/>
    <w:rsid w:val="00990969"/>
    <w:rsid w:val="00991BBC"/>
    <w:rsid w:val="009C1637"/>
    <w:rsid w:val="009C4E75"/>
    <w:rsid w:val="009C7056"/>
    <w:rsid w:val="009C7AF1"/>
    <w:rsid w:val="009D6DEA"/>
    <w:rsid w:val="009D7997"/>
    <w:rsid w:val="009E5DBF"/>
    <w:rsid w:val="009F2AEA"/>
    <w:rsid w:val="009F6479"/>
    <w:rsid w:val="00A018C4"/>
    <w:rsid w:val="00A04FF4"/>
    <w:rsid w:val="00A13783"/>
    <w:rsid w:val="00A2262A"/>
    <w:rsid w:val="00A22D25"/>
    <w:rsid w:val="00A25C73"/>
    <w:rsid w:val="00A32E7A"/>
    <w:rsid w:val="00A36C18"/>
    <w:rsid w:val="00A411F0"/>
    <w:rsid w:val="00A43CC7"/>
    <w:rsid w:val="00A43FDB"/>
    <w:rsid w:val="00A44496"/>
    <w:rsid w:val="00A45EF3"/>
    <w:rsid w:val="00A4666B"/>
    <w:rsid w:val="00A50541"/>
    <w:rsid w:val="00A509F1"/>
    <w:rsid w:val="00A5573B"/>
    <w:rsid w:val="00A56B09"/>
    <w:rsid w:val="00A622EC"/>
    <w:rsid w:val="00A628C1"/>
    <w:rsid w:val="00A644F0"/>
    <w:rsid w:val="00A7690D"/>
    <w:rsid w:val="00A82E93"/>
    <w:rsid w:val="00A83A5A"/>
    <w:rsid w:val="00A85322"/>
    <w:rsid w:val="00A859CB"/>
    <w:rsid w:val="00A85CBD"/>
    <w:rsid w:val="00A922DA"/>
    <w:rsid w:val="00A97E14"/>
    <w:rsid w:val="00AA6980"/>
    <w:rsid w:val="00AB0C7C"/>
    <w:rsid w:val="00AB33D1"/>
    <w:rsid w:val="00AD479B"/>
    <w:rsid w:val="00AD56F7"/>
    <w:rsid w:val="00AF007D"/>
    <w:rsid w:val="00AF5FCF"/>
    <w:rsid w:val="00B00740"/>
    <w:rsid w:val="00B01FCB"/>
    <w:rsid w:val="00B07EE6"/>
    <w:rsid w:val="00B10246"/>
    <w:rsid w:val="00B16065"/>
    <w:rsid w:val="00B21F3B"/>
    <w:rsid w:val="00B23C87"/>
    <w:rsid w:val="00B242B4"/>
    <w:rsid w:val="00B26016"/>
    <w:rsid w:val="00B40755"/>
    <w:rsid w:val="00B60D12"/>
    <w:rsid w:val="00B63A2B"/>
    <w:rsid w:val="00B64698"/>
    <w:rsid w:val="00B674DF"/>
    <w:rsid w:val="00B739A7"/>
    <w:rsid w:val="00B73DFA"/>
    <w:rsid w:val="00B74327"/>
    <w:rsid w:val="00B8263D"/>
    <w:rsid w:val="00B82A4B"/>
    <w:rsid w:val="00B84568"/>
    <w:rsid w:val="00B8702E"/>
    <w:rsid w:val="00B90DF3"/>
    <w:rsid w:val="00BA31F0"/>
    <w:rsid w:val="00BC7D05"/>
    <w:rsid w:val="00BD4C13"/>
    <w:rsid w:val="00BD6A6A"/>
    <w:rsid w:val="00BE0EE9"/>
    <w:rsid w:val="00BE0F36"/>
    <w:rsid w:val="00BE2F68"/>
    <w:rsid w:val="00BF3562"/>
    <w:rsid w:val="00C01534"/>
    <w:rsid w:val="00C017B5"/>
    <w:rsid w:val="00C04A3E"/>
    <w:rsid w:val="00C05D1D"/>
    <w:rsid w:val="00C12617"/>
    <w:rsid w:val="00C14291"/>
    <w:rsid w:val="00C1563F"/>
    <w:rsid w:val="00C330BE"/>
    <w:rsid w:val="00C343B0"/>
    <w:rsid w:val="00C37BA5"/>
    <w:rsid w:val="00C41003"/>
    <w:rsid w:val="00C429B2"/>
    <w:rsid w:val="00C528CD"/>
    <w:rsid w:val="00C5719B"/>
    <w:rsid w:val="00C614BE"/>
    <w:rsid w:val="00C634B5"/>
    <w:rsid w:val="00C72E6E"/>
    <w:rsid w:val="00C91A8E"/>
    <w:rsid w:val="00C92E7C"/>
    <w:rsid w:val="00C94869"/>
    <w:rsid w:val="00C97086"/>
    <w:rsid w:val="00CA794D"/>
    <w:rsid w:val="00CB3F05"/>
    <w:rsid w:val="00CC1423"/>
    <w:rsid w:val="00CC49D4"/>
    <w:rsid w:val="00CC7CE4"/>
    <w:rsid w:val="00CD0375"/>
    <w:rsid w:val="00CD509D"/>
    <w:rsid w:val="00CD58B4"/>
    <w:rsid w:val="00CD63B5"/>
    <w:rsid w:val="00CE522C"/>
    <w:rsid w:val="00CF19A6"/>
    <w:rsid w:val="00CF30C7"/>
    <w:rsid w:val="00CF3701"/>
    <w:rsid w:val="00D05D8F"/>
    <w:rsid w:val="00D06F86"/>
    <w:rsid w:val="00D07CF5"/>
    <w:rsid w:val="00D133EE"/>
    <w:rsid w:val="00D13AE6"/>
    <w:rsid w:val="00D1675F"/>
    <w:rsid w:val="00D240C7"/>
    <w:rsid w:val="00D33103"/>
    <w:rsid w:val="00D3532B"/>
    <w:rsid w:val="00D429CA"/>
    <w:rsid w:val="00D503B0"/>
    <w:rsid w:val="00D539AE"/>
    <w:rsid w:val="00D6722B"/>
    <w:rsid w:val="00D74379"/>
    <w:rsid w:val="00D7682B"/>
    <w:rsid w:val="00D807B7"/>
    <w:rsid w:val="00D821F5"/>
    <w:rsid w:val="00D83393"/>
    <w:rsid w:val="00D90B49"/>
    <w:rsid w:val="00DA55E0"/>
    <w:rsid w:val="00DB0B0E"/>
    <w:rsid w:val="00DB1F62"/>
    <w:rsid w:val="00DB1FA7"/>
    <w:rsid w:val="00DB49B2"/>
    <w:rsid w:val="00DC6A32"/>
    <w:rsid w:val="00DD0E70"/>
    <w:rsid w:val="00DD2B8E"/>
    <w:rsid w:val="00DD3AD7"/>
    <w:rsid w:val="00DD6F1F"/>
    <w:rsid w:val="00DE0E0B"/>
    <w:rsid w:val="00DE16DE"/>
    <w:rsid w:val="00DF3113"/>
    <w:rsid w:val="00DF7A73"/>
    <w:rsid w:val="00E027AF"/>
    <w:rsid w:val="00E05059"/>
    <w:rsid w:val="00E16C3C"/>
    <w:rsid w:val="00E27859"/>
    <w:rsid w:val="00E2792E"/>
    <w:rsid w:val="00E40198"/>
    <w:rsid w:val="00E425BF"/>
    <w:rsid w:val="00E43A73"/>
    <w:rsid w:val="00E524F1"/>
    <w:rsid w:val="00E67B84"/>
    <w:rsid w:val="00E705EF"/>
    <w:rsid w:val="00E74068"/>
    <w:rsid w:val="00E75149"/>
    <w:rsid w:val="00E82650"/>
    <w:rsid w:val="00E94044"/>
    <w:rsid w:val="00EA05C3"/>
    <w:rsid w:val="00EA1150"/>
    <w:rsid w:val="00EA400D"/>
    <w:rsid w:val="00EB0B75"/>
    <w:rsid w:val="00EB4715"/>
    <w:rsid w:val="00EC4BBB"/>
    <w:rsid w:val="00ED143D"/>
    <w:rsid w:val="00ED671A"/>
    <w:rsid w:val="00EF3666"/>
    <w:rsid w:val="00F00E52"/>
    <w:rsid w:val="00F03643"/>
    <w:rsid w:val="00F03B7A"/>
    <w:rsid w:val="00F25F26"/>
    <w:rsid w:val="00F26033"/>
    <w:rsid w:val="00F2697C"/>
    <w:rsid w:val="00F302BD"/>
    <w:rsid w:val="00F30F77"/>
    <w:rsid w:val="00F329E6"/>
    <w:rsid w:val="00F4334D"/>
    <w:rsid w:val="00F52B64"/>
    <w:rsid w:val="00F55AF1"/>
    <w:rsid w:val="00F65F63"/>
    <w:rsid w:val="00F66344"/>
    <w:rsid w:val="00F749C0"/>
    <w:rsid w:val="00F848C2"/>
    <w:rsid w:val="00F92851"/>
    <w:rsid w:val="00F951BC"/>
    <w:rsid w:val="00FA1C1A"/>
    <w:rsid w:val="00FA3847"/>
    <w:rsid w:val="00FC0DA1"/>
    <w:rsid w:val="00FC3A34"/>
    <w:rsid w:val="00FC7F4E"/>
    <w:rsid w:val="00FD0BBB"/>
    <w:rsid w:val="00FD2D34"/>
    <w:rsid w:val="00FD589E"/>
    <w:rsid w:val="00FE656C"/>
    <w:rsid w:val="00FF2C5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3DCE12"/>
  <w15:chartTrackingRefBased/>
  <w15:docId w15:val="{971BBFF5-8376-46C6-BAF1-28B5E45B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43D"/>
    <w:pPr>
      <w:widowControl w:val="0"/>
      <w:autoSpaceDE w:val="0"/>
      <w:autoSpaceDN w:val="0"/>
      <w:spacing w:after="0" w:line="240" w:lineRule="auto"/>
    </w:pPr>
    <w:rPr>
      <w:rFonts w:ascii="Cambria" w:eastAsia="Cambria" w:hAnsi="Cambria" w:cs="Cambria"/>
      <w:lang w:val="en-US"/>
    </w:rPr>
  </w:style>
  <w:style w:type="paragraph" w:styleId="Heading1">
    <w:name w:val="heading 1"/>
    <w:basedOn w:val="Normal"/>
    <w:link w:val="Heading1Char"/>
    <w:uiPriority w:val="9"/>
    <w:qFormat/>
    <w:rsid w:val="00ED143D"/>
    <w:pPr>
      <w:ind w:left="94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43D"/>
    <w:rPr>
      <w:rFonts w:ascii="Cambria" w:eastAsia="Cambria" w:hAnsi="Cambria" w:cs="Cambria"/>
      <w:b/>
      <w:bCs/>
      <w:sz w:val="24"/>
      <w:szCs w:val="24"/>
      <w:lang w:val="en-US"/>
    </w:rPr>
  </w:style>
  <w:style w:type="paragraph" w:styleId="BodyText">
    <w:name w:val="Body Text"/>
    <w:basedOn w:val="Normal"/>
    <w:link w:val="BodyTextChar"/>
    <w:uiPriority w:val="1"/>
    <w:qFormat/>
    <w:rsid w:val="00ED143D"/>
    <w:rPr>
      <w:sz w:val="24"/>
      <w:szCs w:val="24"/>
    </w:rPr>
  </w:style>
  <w:style w:type="character" w:customStyle="1" w:styleId="BodyTextChar">
    <w:name w:val="Body Text Char"/>
    <w:basedOn w:val="DefaultParagraphFont"/>
    <w:link w:val="BodyText"/>
    <w:uiPriority w:val="1"/>
    <w:rsid w:val="00ED143D"/>
    <w:rPr>
      <w:rFonts w:ascii="Cambria" w:eastAsia="Cambria" w:hAnsi="Cambria" w:cs="Cambria"/>
      <w:sz w:val="24"/>
      <w:szCs w:val="24"/>
      <w:lang w:val="en-US"/>
    </w:rPr>
  </w:style>
  <w:style w:type="paragraph" w:styleId="ListParagraph">
    <w:name w:val="List Paragraph"/>
    <w:aliases w:val="Resume Title,heading 4,Citation List,Ha,Graphic,List Paragraph1,Style 9,Heading 41,Report Para,WinDForce-Letter,Medium Grid 1 - Accent 21,Annexure,heading 9,Bullet 05,Paragraphe de liste1,Normal 1,Paragraphe de liste11,List Paragraph v1"/>
    <w:basedOn w:val="Normal"/>
    <w:link w:val="ListParagraphChar"/>
    <w:uiPriority w:val="34"/>
    <w:qFormat/>
    <w:rsid w:val="00ED143D"/>
    <w:pPr>
      <w:ind w:left="720"/>
      <w:contextualSpacing/>
    </w:pPr>
  </w:style>
  <w:style w:type="paragraph" w:customStyle="1" w:styleId="TableParagraph">
    <w:name w:val="Table Paragraph"/>
    <w:basedOn w:val="Normal"/>
    <w:uiPriority w:val="1"/>
    <w:qFormat/>
    <w:rsid w:val="00EA400D"/>
  </w:style>
  <w:style w:type="paragraph" w:styleId="Header">
    <w:name w:val="header"/>
    <w:basedOn w:val="Normal"/>
    <w:link w:val="HeaderChar"/>
    <w:uiPriority w:val="99"/>
    <w:unhideWhenUsed/>
    <w:rsid w:val="006E3A81"/>
    <w:pPr>
      <w:tabs>
        <w:tab w:val="center" w:pos="4513"/>
        <w:tab w:val="right" w:pos="9026"/>
      </w:tabs>
    </w:pPr>
  </w:style>
  <w:style w:type="character" w:customStyle="1" w:styleId="HeaderChar">
    <w:name w:val="Header Char"/>
    <w:basedOn w:val="DefaultParagraphFont"/>
    <w:link w:val="Header"/>
    <w:uiPriority w:val="99"/>
    <w:rsid w:val="006E3A81"/>
    <w:rPr>
      <w:rFonts w:ascii="Cambria" w:eastAsia="Cambria" w:hAnsi="Cambria" w:cs="Cambria"/>
      <w:lang w:val="en-US"/>
    </w:rPr>
  </w:style>
  <w:style w:type="paragraph" w:styleId="Footer">
    <w:name w:val="footer"/>
    <w:basedOn w:val="Normal"/>
    <w:link w:val="FooterChar"/>
    <w:uiPriority w:val="99"/>
    <w:unhideWhenUsed/>
    <w:rsid w:val="006E3A81"/>
    <w:pPr>
      <w:tabs>
        <w:tab w:val="center" w:pos="4513"/>
        <w:tab w:val="right" w:pos="9026"/>
      </w:tabs>
    </w:pPr>
  </w:style>
  <w:style w:type="character" w:customStyle="1" w:styleId="FooterChar">
    <w:name w:val="Footer Char"/>
    <w:basedOn w:val="DefaultParagraphFont"/>
    <w:link w:val="Footer"/>
    <w:uiPriority w:val="99"/>
    <w:rsid w:val="006E3A81"/>
    <w:rPr>
      <w:rFonts w:ascii="Cambria" w:eastAsia="Cambria" w:hAnsi="Cambria" w:cs="Cambria"/>
      <w:lang w:val="en-US"/>
    </w:rPr>
  </w:style>
  <w:style w:type="character" w:customStyle="1" w:styleId="ListParagraphChar">
    <w:name w:val="List Paragraph Char"/>
    <w:aliases w:val="Resume Title Char,heading 4 Char,Citation List Char,Ha Char,Graphic Char,List Paragraph1 Char,Style 9 Char,Heading 41 Char,Report Para Char,WinDForce-Letter Char,Medium Grid 1 - Accent 21 Char,Annexure Char,heading 9 Char"/>
    <w:link w:val="ListParagraph"/>
    <w:uiPriority w:val="34"/>
    <w:qFormat/>
    <w:locked/>
    <w:rsid w:val="00A622EC"/>
    <w:rPr>
      <w:rFonts w:ascii="Cambria" w:eastAsia="Cambria" w:hAnsi="Cambria" w:cs="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368D9-4DDB-47B8-8004-5F6AFBF9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24</Pages>
  <Words>5636</Words>
  <Characters>32128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TPWODL</Company>
  <LinksUpToDate>false</LinksUpToDate>
  <CharactersWithSpaces>37689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Abhisek Mahapatra</dc:creator>
  <cp:keywords/>
  <dc:description/>
  <cp:lastModifiedBy>Abhisek Mahapatra</cp:lastModifiedBy>
  <cp:revision>5</cp:revision>
  <cp:lastPrinted>2023-01-10T06:37:00Z</cp:lastPrinted>
  <dcterms:created xsi:type="dcterms:W3CDTF">2023-11-29T03:12:00Z</dcterms:created>
  <dcterms:modified xsi:type="dcterms:W3CDTF">2023-11-29T15:08:00Z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2c4bd3f12bd4dee3e85d43686b967940600589a8d08e9f745f0fba903111fb6b</vt:lpwstr>
  </property>
</Properties>
</file>