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127D" w14:textId="77777777" w:rsidR="00097CB6" w:rsidRPr="00097CB6" w:rsidRDefault="00097CB6" w:rsidP="008B38BE">
      <w:pPr>
        <w:spacing w:line="360" w:lineRule="auto"/>
        <w:ind w:firstLine="720"/>
        <w:jc w:val="center"/>
        <w:rPr>
          <w:rFonts w:ascii="Book Antiqua" w:hAnsi="Book Antiqua"/>
          <w:b/>
          <w:bCs/>
          <w:sz w:val="24"/>
          <w:szCs w:val="24"/>
          <w:u w:val="single"/>
        </w:rPr>
      </w:pPr>
      <w:r w:rsidRPr="00097CB6">
        <w:rPr>
          <w:rFonts w:ascii="Book Antiqua" w:hAnsi="Book Antiqua"/>
          <w:b/>
          <w:bCs/>
          <w:sz w:val="24"/>
          <w:szCs w:val="24"/>
          <w:u w:val="single"/>
        </w:rPr>
        <w:t>ANNEXURE-A</w:t>
      </w:r>
    </w:p>
    <w:p w14:paraId="1EE89225" w14:textId="3BDB3301" w:rsidR="00D47264" w:rsidRPr="006D37FD" w:rsidRDefault="006D37FD" w:rsidP="00673B19">
      <w:pPr>
        <w:spacing w:line="360" w:lineRule="auto"/>
        <w:jc w:val="both"/>
        <w:rPr>
          <w:rFonts w:ascii="Book Antiqua" w:hAnsi="Book Antiqua"/>
          <w:sz w:val="24"/>
          <w:szCs w:val="24"/>
        </w:rPr>
      </w:pPr>
      <w:r w:rsidRPr="006D37FD">
        <w:rPr>
          <w:rFonts w:ascii="Book Antiqua" w:hAnsi="Book Antiqua"/>
          <w:sz w:val="24"/>
          <w:szCs w:val="24"/>
        </w:rPr>
        <w:t xml:space="preserve">TP Western Odisha Distribution Ltd. (TPWODL) is a company incorporated under the Companies Act, 2013. The entity is formed as a Special Purpose Vehicle (SPV) mode between the Tata Power Company Ltd. (TPCL) and the Government of Odisha. TPCL is the majority </w:t>
      </w:r>
      <w:r w:rsidR="00CB7EF8" w:rsidRPr="006D37FD">
        <w:rPr>
          <w:rFonts w:ascii="Book Antiqua" w:hAnsi="Book Antiqua"/>
          <w:sz w:val="24"/>
          <w:szCs w:val="24"/>
        </w:rPr>
        <w:t>shareholder</w:t>
      </w:r>
      <w:r w:rsidRPr="006D37FD">
        <w:rPr>
          <w:rFonts w:ascii="Book Antiqua" w:hAnsi="Book Antiqua"/>
          <w:sz w:val="24"/>
          <w:szCs w:val="24"/>
        </w:rPr>
        <w:t>, having 51% of equity share capital and the Government of Odisha has 49 % equity share capital through GRIDC</w:t>
      </w:r>
      <w:r w:rsidR="00E31954">
        <w:rPr>
          <w:rFonts w:ascii="Book Antiqua" w:hAnsi="Book Antiqua"/>
          <w:sz w:val="24"/>
          <w:szCs w:val="24"/>
        </w:rPr>
        <w:t>O</w:t>
      </w:r>
      <w:r w:rsidRPr="006D37FD">
        <w:rPr>
          <w:rFonts w:ascii="Book Antiqua" w:hAnsi="Book Antiqua"/>
          <w:sz w:val="24"/>
          <w:szCs w:val="24"/>
        </w:rPr>
        <w:t xml:space="preserve"> Ltd. The Company TPWODL has been vested with the business of distribution and retail supply of electricity in the Western Zone of the State of Odisha covering nine revenue districts, with effect from 01.01.2021, by virtue of the</w:t>
      </w:r>
      <w:r w:rsidR="00E31954">
        <w:rPr>
          <w:rFonts w:ascii="Book Antiqua" w:hAnsi="Book Antiqua"/>
          <w:sz w:val="24"/>
          <w:szCs w:val="24"/>
        </w:rPr>
        <w:t xml:space="preserve"> vesting</w:t>
      </w:r>
      <w:r w:rsidRPr="006D37FD">
        <w:rPr>
          <w:rFonts w:ascii="Book Antiqua" w:hAnsi="Book Antiqua"/>
          <w:sz w:val="24"/>
          <w:szCs w:val="24"/>
        </w:rPr>
        <w:t xml:space="preserve"> Order dated 28.12.2020 of Odisha Electricity Regulatory Commission (OERC) passed in Case No.82 of 2020, under the provisions of Section 20 read with Section 21 of the Electricity Act, </w:t>
      </w:r>
      <w:r w:rsidR="001426BE" w:rsidRPr="006D37FD">
        <w:rPr>
          <w:rFonts w:ascii="Book Antiqua" w:hAnsi="Book Antiqua"/>
          <w:sz w:val="24"/>
          <w:szCs w:val="24"/>
        </w:rPr>
        <w:t>2003</w:t>
      </w:r>
      <w:r w:rsidR="001426BE">
        <w:rPr>
          <w:rFonts w:ascii="Book Antiqua" w:hAnsi="Book Antiqua"/>
          <w:sz w:val="24"/>
          <w:szCs w:val="24"/>
        </w:rPr>
        <w:t>, obtained</w:t>
      </w:r>
      <w:r w:rsidR="00E31954">
        <w:rPr>
          <w:rFonts w:ascii="Book Antiqua" w:hAnsi="Book Antiqua"/>
          <w:sz w:val="24"/>
          <w:szCs w:val="24"/>
        </w:rPr>
        <w:t xml:space="preserve"> license accordingly</w:t>
      </w:r>
      <w:r w:rsidRPr="006D37FD">
        <w:rPr>
          <w:rFonts w:ascii="Book Antiqua" w:hAnsi="Book Antiqua"/>
          <w:sz w:val="24"/>
          <w:szCs w:val="24"/>
        </w:rPr>
        <w:t xml:space="preserve">. </w:t>
      </w:r>
    </w:p>
    <w:p w14:paraId="592299A6" w14:textId="3B48A9ED" w:rsidR="006D37FD" w:rsidRPr="00124D61" w:rsidRDefault="006D37FD" w:rsidP="008B38BE">
      <w:pPr>
        <w:spacing w:line="360" w:lineRule="auto"/>
        <w:jc w:val="both"/>
        <w:rPr>
          <w:rFonts w:ascii="Book Antiqua" w:hAnsi="Book Antiqua"/>
          <w:b/>
          <w:bCs/>
          <w:sz w:val="24"/>
          <w:szCs w:val="24"/>
          <w:u w:val="single"/>
        </w:rPr>
      </w:pPr>
      <w:r w:rsidRPr="00124D61">
        <w:rPr>
          <w:rFonts w:ascii="Book Antiqua" w:hAnsi="Book Antiqua"/>
          <w:b/>
          <w:bCs/>
          <w:sz w:val="24"/>
          <w:szCs w:val="24"/>
          <w:u w:val="single"/>
        </w:rPr>
        <w:t>Historical Reform Process</w:t>
      </w:r>
    </w:p>
    <w:p w14:paraId="0DA5AB4D" w14:textId="5D95D5B6" w:rsidR="00992DD8" w:rsidRPr="004263A4" w:rsidRDefault="004263A4" w:rsidP="004263A4">
      <w:pPr>
        <w:spacing w:line="360" w:lineRule="auto"/>
        <w:jc w:val="both"/>
        <w:rPr>
          <w:rFonts w:ascii="Book Antiqua" w:hAnsi="Book Antiqua"/>
          <w:sz w:val="24"/>
          <w:szCs w:val="24"/>
        </w:rPr>
      </w:pPr>
      <w:r w:rsidRPr="004263A4">
        <w:rPr>
          <w:rFonts w:ascii="Book Antiqua" w:hAnsi="Book Antiqua"/>
          <w:sz w:val="24"/>
          <w:szCs w:val="24"/>
        </w:rPr>
        <w:t>1.</w:t>
      </w:r>
      <w:r>
        <w:rPr>
          <w:rFonts w:ascii="Book Antiqua" w:hAnsi="Book Antiqua"/>
          <w:sz w:val="24"/>
          <w:szCs w:val="24"/>
        </w:rPr>
        <w:t xml:space="preserve"> </w:t>
      </w:r>
      <w:r w:rsidR="00992DD8" w:rsidRPr="004263A4">
        <w:rPr>
          <w:rFonts w:ascii="Book Antiqua" w:hAnsi="Book Antiqua"/>
          <w:sz w:val="24"/>
          <w:szCs w:val="24"/>
        </w:rPr>
        <w:t xml:space="preserve">Odisha’s power generation and distribution was being managed by Odisha State Electricity Board (OSEB). The pre-reform performance-technical commercials and financial of the OSEB was very dismal. Install capacity for power generation was around 2900MW dominated by 5 plants totalling 1700MW of the (OSEB) and 420MW coal fired plant of Odisha Power Generating Corporation (OPGC). There were around 1.3 </w:t>
      </w:r>
      <w:r w:rsidR="00D92208" w:rsidRPr="004263A4">
        <w:rPr>
          <w:rFonts w:ascii="Book Antiqua" w:hAnsi="Book Antiqua"/>
          <w:sz w:val="24"/>
          <w:szCs w:val="24"/>
        </w:rPr>
        <w:t>million</w:t>
      </w:r>
      <w:r w:rsidR="00992DD8" w:rsidRPr="004263A4">
        <w:rPr>
          <w:rFonts w:ascii="Book Antiqua" w:hAnsi="Book Antiqua"/>
          <w:sz w:val="24"/>
          <w:szCs w:val="24"/>
        </w:rPr>
        <w:t xml:space="preserve"> consumers of whom less than 50% were metered. Power system losses were officially audited at around 22% but actual losses exceeded 50% consumption was dominated by industrial consumers (54%), only 6% are agriculture consumers.</w:t>
      </w:r>
    </w:p>
    <w:p w14:paraId="7F83C6CB" w14:textId="2266DE14" w:rsidR="006D37FD" w:rsidRPr="004263A4" w:rsidRDefault="004263A4" w:rsidP="004263A4">
      <w:pPr>
        <w:widowControl w:val="0"/>
        <w:tabs>
          <w:tab w:val="left" w:pos="877"/>
          <w:tab w:val="left" w:pos="878"/>
        </w:tabs>
        <w:autoSpaceDE w:val="0"/>
        <w:autoSpaceDN w:val="0"/>
        <w:spacing w:before="126" w:after="0" w:line="360" w:lineRule="auto"/>
        <w:jc w:val="both"/>
        <w:rPr>
          <w:rFonts w:ascii="Book Antiqua" w:hAnsi="Book Antiqua"/>
          <w:sz w:val="24"/>
          <w:szCs w:val="24"/>
        </w:rPr>
      </w:pPr>
      <w:r>
        <w:rPr>
          <w:rFonts w:ascii="Book Antiqua" w:hAnsi="Book Antiqua"/>
          <w:sz w:val="24"/>
          <w:szCs w:val="24"/>
        </w:rPr>
        <w:t xml:space="preserve">2. </w:t>
      </w:r>
      <w:r w:rsidR="00992DD8" w:rsidRPr="004263A4">
        <w:rPr>
          <w:rFonts w:ascii="Book Antiqua" w:hAnsi="Book Antiqua"/>
          <w:sz w:val="24"/>
          <w:szCs w:val="24"/>
        </w:rPr>
        <w:t xml:space="preserve">In order to overcome the precarious situation in the power sector, </w:t>
      </w:r>
      <w:r w:rsidR="006D37FD" w:rsidRPr="004263A4">
        <w:rPr>
          <w:rFonts w:ascii="Book Antiqua" w:hAnsi="Book Antiqua"/>
          <w:sz w:val="24"/>
          <w:szCs w:val="24"/>
        </w:rPr>
        <w:t xml:space="preserve">Odisha </w:t>
      </w:r>
      <w:r w:rsidR="00992DD8" w:rsidRPr="004263A4">
        <w:rPr>
          <w:rFonts w:ascii="Book Antiqua" w:hAnsi="Book Antiqua"/>
          <w:sz w:val="24"/>
          <w:szCs w:val="24"/>
        </w:rPr>
        <w:t>was</w:t>
      </w:r>
      <w:r w:rsidR="006D37FD" w:rsidRPr="004263A4">
        <w:rPr>
          <w:rFonts w:ascii="Book Antiqua" w:hAnsi="Book Antiqua"/>
          <w:sz w:val="24"/>
          <w:szCs w:val="24"/>
        </w:rPr>
        <w:t xml:space="preserve"> the pioneer</w:t>
      </w:r>
      <w:r w:rsidR="00992DD8" w:rsidRPr="004263A4">
        <w:rPr>
          <w:rFonts w:ascii="Book Antiqua" w:hAnsi="Book Antiqua"/>
          <w:sz w:val="24"/>
          <w:szCs w:val="24"/>
        </w:rPr>
        <w:t xml:space="preserve"> state</w:t>
      </w:r>
      <w:r w:rsidR="006D37FD" w:rsidRPr="004263A4">
        <w:rPr>
          <w:rFonts w:ascii="Book Antiqua" w:hAnsi="Book Antiqua"/>
          <w:sz w:val="24"/>
          <w:szCs w:val="24"/>
        </w:rPr>
        <w:t xml:space="preserve"> in bringing wide spread reforms in the power sector of the State. </w:t>
      </w:r>
      <w:r w:rsidR="00AA3797" w:rsidRPr="004263A4">
        <w:rPr>
          <w:rFonts w:ascii="Book Antiqua" w:hAnsi="Book Antiqua"/>
          <w:sz w:val="24"/>
          <w:szCs w:val="24"/>
        </w:rPr>
        <w:t xml:space="preserve">The reforms were made in two phases. </w:t>
      </w:r>
      <w:r w:rsidR="006D37FD" w:rsidRPr="004263A4">
        <w:rPr>
          <w:rFonts w:ascii="Book Antiqua" w:hAnsi="Book Antiqua"/>
          <w:sz w:val="24"/>
          <w:szCs w:val="24"/>
        </w:rPr>
        <w:t xml:space="preserve">Initially Odisha State Electricity Board (OSEB) was vested with the </w:t>
      </w:r>
      <w:r w:rsidR="00992DD8" w:rsidRPr="004263A4">
        <w:rPr>
          <w:rFonts w:ascii="Book Antiqua" w:hAnsi="Book Antiqua"/>
          <w:sz w:val="24"/>
          <w:szCs w:val="24"/>
        </w:rPr>
        <w:t xml:space="preserve">generation, </w:t>
      </w:r>
      <w:r w:rsidR="006D37FD" w:rsidRPr="004263A4">
        <w:rPr>
          <w:rFonts w:ascii="Book Antiqua" w:hAnsi="Book Antiqua"/>
          <w:sz w:val="24"/>
          <w:szCs w:val="24"/>
        </w:rPr>
        <w:t xml:space="preserve">distribution, transmission of electricity in the State. </w:t>
      </w:r>
      <w:r w:rsidR="006D37FD" w:rsidRPr="004263A4">
        <w:rPr>
          <w:rFonts w:ascii="Book Antiqua" w:hAnsi="Book Antiqua" w:cstheme="minorHAnsi"/>
          <w:w w:val="105"/>
          <w:sz w:val="24"/>
          <w:szCs w:val="24"/>
        </w:rPr>
        <w:t>With the passing of the</w:t>
      </w:r>
      <w:r w:rsidR="006D37FD" w:rsidRPr="004263A4">
        <w:rPr>
          <w:rFonts w:ascii="Book Antiqua" w:hAnsi="Book Antiqua"/>
          <w:w w:val="105"/>
          <w:sz w:val="24"/>
          <w:szCs w:val="24"/>
        </w:rPr>
        <w:t xml:space="preserve"> Orissa Electricity Reform Act 1995. the erstwhile vertically integrated Orissa State Electricity Board (</w:t>
      </w:r>
      <w:r w:rsidR="006D37FD" w:rsidRPr="004263A4">
        <w:rPr>
          <w:rFonts w:ascii="Book Antiqua" w:hAnsi="Book Antiqua"/>
          <w:b/>
          <w:w w:val="105"/>
          <w:sz w:val="24"/>
          <w:szCs w:val="24"/>
        </w:rPr>
        <w:t>OSEB</w:t>
      </w:r>
      <w:r w:rsidR="006D37FD" w:rsidRPr="004263A4">
        <w:rPr>
          <w:rFonts w:ascii="Book Antiqua" w:hAnsi="Book Antiqua"/>
          <w:w w:val="105"/>
          <w:sz w:val="24"/>
          <w:szCs w:val="24"/>
        </w:rPr>
        <w:t xml:space="preserve">) was </w:t>
      </w:r>
      <w:r w:rsidR="00124D61" w:rsidRPr="004263A4">
        <w:rPr>
          <w:rFonts w:ascii="Book Antiqua" w:hAnsi="Book Antiqua"/>
          <w:w w:val="105"/>
          <w:sz w:val="24"/>
          <w:szCs w:val="24"/>
        </w:rPr>
        <w:t xml:space="preserve">unbundled </w:t>
      </w:r>
      <w:r w:rsidR="006D37FD" w:rsidRPr="004263A4">
        <w:rPr>
          <w:rFonts w:ascii="Book Antiqua" w:hAnsi="Book Antiqua"/>
          <w:w w:val="105"/>
          <w:sz w:val="24"/>
          <w:szCs w:val="24"/>
        </w:rPr>
        <w:t>into Orissa Hydro Power Corporation Limited (</w:t>
      </w:r>
      <w:r w:rsidR="006D37FD" w:rsidRPr="004263A4">
        <w:rPr>
          <w:rFonts w:ascii="Book Antiqua" w:hAnsi="Book Antiqua"/>
          <w:b/>
          <w:w w:val="105"/>
          <w:sz w:val="24"/>
          <w:szCs w:val="24"/>
        </w:rPr>
        <w:t>OHPC</w:t>
      </w:r>
      <w:r w:rsidR="006D37FD" w:rsidRPr="004263A4">
        <w:rPr>
          <w:rFonts w:ascii="Book Antiqua" w:hAnsi="Book Antiqua"/>
          <w:w w:val="105"/>
          <w:sz w:val="24"/>
          <w:szCs w:val="24"/>
        </w:rPr>
        <w:t>), which w</w:t>
      </w:r>
      <w:r w:rsidR="00E31954" w:rsidRPr="004263A4">
        <w:rPr>
          <w:rFonts w:ascii="Book Antiqua" w:hAnsi="Book Antiqua"/>
          <w:w w:val="105"/>
          <w:sz w:val="24"/>
          <w:szCs w:val="24"/>
        </w:rPr>
        <w:t>as</w:t>
      </w:r>
      <w:r w:rsidR="006D37FD" w:rsidRPr="004263A4">
        <w:rPr>
          <w:rFonts w:ascii="Book Antiqua" w:hAnsi="Book Antiqua"/>
          <w:w w:val="105"/>
          <w:sz w:val="24"/>
          <w:szCs w:val="24"/>
        </w:rPr>
        <w:t xml:space="preserve"> vested with the hydro generating assets of </w:t>
      </w:r>
      <w:r w:rsidR="006D37FD" w:rsidRPr="004263A4">
        <w:rPr>
          <w:rFonts w:ascii="Book Antiqua" w:hAnsi="Book Antiqua"/>
          <w:w w:val="105"/>
          <w:sz w:val="24"/>
          <w:szCs w:val="24"/>
        </w:rPr>
        <w:lastRenderedPageBreak/>
        <w:t>the State and the Grid Corporation of Orissa Limited (</w:t>
      </w:r>
      <w:r w:rsidR="006D37FD" w:rsidRPr="004263A4">
        <w:rPr>
          <w:rFonts w:ascii="Book Antiqua" w:hAnsi="Book Antiqua"/>
          <w:b/>
          <w:w w:val="105"/>
          <w:sz w:val="24"/>
          <w:szCs w:val="24"/>
        </w:rPr>
        <w:t>GRIDCO</w:t>
      </w:r>
      <w:r w:rsidR="006D37FD" w:rsidRPr="004263A4">
        <w:rPr>
          <w:rFonts w:ascii="Book Antiqua" w:hAnsi="Book Antiqua"/>
          <w:w w:val="105"/>
          <w:sz w:val="24"/>
          <w:szCs w:val="24"/>
        </w:rPr>
        <w:t xml:space="preserve">), </w:t>
      </w:r>
      <w:r w:rsidR="00284BB3" w:rsidRPr="004263A4">
        <w:rPr>
          <w:rFonts w:ascii="Book Antiqua" w:hAnsi="Book Antiqua"/>
          <w:w w:val="105"/>
          <w:sz w:val="24"/>
          <w:szCs w:val="24"/>
        </w:rPr>
        <w:t>which was vested with</w:t>
      </w:r>
      <w:r w:rsidR="006D37FD" w:rsidRPr="004263A4">
        <w:rPr>
          <w:rFonts w:ascii="Book Antiqua" w:hAnsi="Book Antiqua"/>
          <w:w w:val="105"/>
          <w:sz w:val="24"/>
          <w:szCs w:val="24"/>
        </w:rPr>
        <w:t xml:space="preserve"> the transmission and distribution functions of the erstwhile OSEB. Subsequently, on 25 November 1998,</w:t>
      </w:r>
      <w:r w:rsidR="006D37FD" w:rsidRPr="004263A4">
        <w:rPr>
          <w:rFonts w:ascii="Book Antiqua" w:eastAsia="Times New Roman" w:hAnsi="Book Antiqua"/>
          <w:color w:val="000000"/>
          <w:sz w:val="24"/>
          <w:szCs w:val="24"/>
        </w:rPr>
        <w:t xml:space="preserve"> vide Orissa Electricity Reform (Transfer of Assets, Liabilities, Proceedings and Personnel of </w:t>
      </w:r>
      <w:r w:rsidR="00D92208" w:rsidRPr="004263A4">
        <w:rPr>
          <w:rFonts w:ascii="Book Antiqua" w:hAnsi="Book Antiqua"/>
          <w:w w:val="105"/>
          <w:sz w:val="24"/>
          <w:szCs w:val="24"/>
        </w:rPr>
        <w:t>GRIDCO</w:t>
      </w:r>
      <w:r w:rsidR="006D37FD" w:rsidRPr="004263A4">
        <w:rPr>
          <w:rFonts w:ascii="Book Antiqua" w:eastAsia="Times New Roman" w:hAnsi="Book Antiqua"/>
          <w:color w:val="000000"/>
          <w:sz w:val="24"/>
          <w:szCs w:val="24"/>
        </w:rPr>
        <w:t xml:space="preserve"> to Distribution Companies) Rules, 1998,</w:t>
      </w:r>
      <w:r w:rsidR="006D37FD" w:rsidRPr="004263A4">
        <w:rPr>
          <w:rFonts w:ascii="Book Antiqua" w:hAnsi="Book Antiqua"/>
          <w:w w:val="105"/>
          <w:sz w:val="24"/>
          <w:szCs w:val="24"/>
        </w:rPr>
        <w:t xml:space="preserve"> the distribution business of GRIDCO was segregated and vested into four distribution companies, each incorporated as a separate legal entity under the Companies Act. Following this, all </w:t>
      </w:r>
      <w:r w:rsidR="006D37FD" w:rsidRPr="004263A4">
        <w:rPr>
          <w:rFonts w:ascii="Book Antiqua" w:hAnsi="Book Antiqua"/>
          <w:spacing w:val="-3"/>
          <w:w w:val="105"/>
          <w:sz w:val="24"/>
          <w:szCs w:val="24"/>
        </w:rPr>
        <w:t xml:space="preserve">the </w:t>
      </w:r>
      <w:r w:rsidR="006D37FD" w:rsidRPr="004263A4">
        <w:rPr>
          <w:rFonts w:ascii="Book Antiqua" w:hAnsi="Book Antiqua"/>
          <w:w w:val="105"/>
          <w:sz w:val="24"/>
          <w:szCs w:val="24"/>
        </w:rPr>
        <w:t>four Distribution Companies (</w:t>
      </w:r>
      <w:r w:rsidR="006D37FD" w:rsidRPr="004263A4">
        <w:rPr>
          <w:rFonts w:ascii="Book Antiqua" w:hAnsi="Book Antiqua"/>
          <w:b/>
          <w:w w:val="105"/>
          <w:sz w:val="24"/>
          <w:szCs w:val="24"/>
        </w:rPr>
        <w:t>DISCOMS</w:t>
      </w:r>
      <w:r w:rsidR="006D37FD" w:rsidRPr="004263A4">
        <w:rPr>
          <w:rFonts w:ascii="Book Antiqua" w:hAnsi="Book Antiqua"/>
          <w:w w:val="105"/>
          <w:sz w:val="24"/>
          <w:szCs w:val="24"/>
        </w:rPr>
        <w:t xml:space="preserve">) were privatized (through sale of a majority shares </w:t>
      </w:r>
      <w:proofErr w:type="gramStart"/>
      <w:r w:rsidR="006D37FD" w:rsidRPr="004263A4">
        <w:rPr>
          <w:rFonts w:ascii="Book Antiqua" w:hAnsi="Book Antiqua"/>
          <w:w w:val="105"/>
          <w:sz w:val="24"/>
          <w:szCs w:val="24"/>
        </w:rPr>
        <w:t>i.e.</w:t>
      </w:r>
      <w:proofErr w:type="gramEnd"/>
      <w:r w:rsidR="006D37FD" w:rsidRPr="004263A4">
        <w:rPr>
          <w:rFonts w:ascii="Book Antiqua" w:hAnsi="Book Antiqua"/>
          <w:w w:val="105"/>
          <w:sz w:val="24"/>
          <w:szCs w:val="24"/>
        </w:rPr>
        <w:t>51% equity of each of the DISCOM) with effect from 1</w:t>
      </w:r>
      <w:r w:rsidR="006D37FD" w:rsidRPr="004263A4">
        <w:rPr>
          <w:rFonts w:ascii="Book Antiqua" w:hAnsi="Book Antiqua"/>
          <w:w w:val="105"/>
          <w:sz w:val="24"/>
          <w:szCs w:val="24"/>
          <w:vertAlign w:val="superscript"/>
        </w:rPr>
        <w:t>st</w:t>
      </w:r>
      <w:r w:rsidR="006D37FD" w:rsidRPr="004263A4">
        <w:rPr>
          <w:rFonts w:ascii="Book Antiqua" w:hAnsi="Book Antiqua"/>
          <w:w w:val="105"/>
          <w:sz w:val="24"/>
          <w:szCs w:val="24"/>
        </w:rPr>
        <w:t xml:space="preserve"> April, 1999.  One of the four DISCOMS </w:t>
      </w:r>
      <w:proofErr w:type="gramStart"/>
      <w:r w:rsidR="006D37FD" w:rsidRPr="004263A4">
        <w:rPr>
          <w:rFonts w:ascii="Book Antiqua" w:hAnsi="Book Antiqua"/>
          <w:w w:val="105"/>
          <w:sz w:val="24"/>
          <w:szCs w:val="24"/>
        </w:rPr>
        <w:t>i.e.</w:t>
      </w:r>
      <w:proofErr w:type="gramEnd"/>
      <w:r w:rsidR="006D37FD" w:rsidRPr="004263A4">
        <w:rPr>
          <w:rFonts w:ascii="Book Antiqua" w:hAnsi="Book Antiqua"/>
          <w:w w:val="105"/>
          <w:sz w:val="24"/>
          <w:szCs w:val="24"/>
        </w:rPr>
        <w:t xml:space="preserve"> Western Electricity Supply Company of </w:t>
      </w:r>
      <w:r w:rsidR="006D37FD" w:rsidRPr="004263A4">
        <w:rPr>
          <w:rFonts w:ascii="Book Antiqua" w:hAnsi="Book Antiqua"/>
          <w:spacing w:val="-3"/>
          <w:w w:val="105"/>
          <w:sz w:val="24"/>
          <w:szCs w:val="24"/>
        </w:rPr>
        <w:t xml:space="preserve">Odisha </w:t>
      </w:r>
      <w:r w:rsidR="006D37FD" w:rsidRPr="004263A4">
        <w:rPr>
          <w:rFonts w:ascii="Book Antiqua" w:hAnsi="Book Antiqua"/>
          <w:w w:val="105"/>
          <w:sz w:val="24"/>
          <w:szCs w:val="24"/>
        </w:rPr>
        <w:t>Limited (</w:t>
      </w:r>
      <w:r w:rsidR="006D37FD" w:rsidRPr="004263A4">
        <w:rPr>
          <w:rFonts w:ascii="Book Antiqua" w:hAnsi="Book Antiqua"/>
          <w:b/>
          <w:w w:val="105"/>
          <w:sz w:val="24"/>
          <w:szCs w:val="24"/>
        </w:rPr>
        <w:t>WESCO</w:t>
      </w:r>
      <w:r w:rsidR="006D37FD" w:rsidRPr="004263A4">
        <w:rPr>
          <w:rFonts w:ascii="Book Antiqua" w:hAnsi="Book Antiqua"/>
          <w:w w:val="105"/>
          <w:sz w:val="24"/>
          <w:szCs w:val="24"/>
        </w:rPr>
        <w:t xml:space="preserve">) </w:t>
      </w:r>
      <w:r w:rsidR="006D37FD" w:rsidRPr="004263A4">
        <w:rPr>
          <w:rFonts w:ascii="Book Antiqua" w:hAnsi="Book Antiqua"/>
          <w:spacing w:val="-3"/>
          <w:w w:val="105"/>
          <w:sz w:val="24"/>
          <w:szCs w:val="24"/>
        </w:rPr>
        <w:t xml:space="preserve">was </w:t>
      </w:r>
      <w:r w:rsidR="006D37FD" w:rsidRPr="004263A4">
        <w:rPr>
          <w:rFonts w:ascii="Book Antiqua" w:hAnsi="Book Antiqua"/>
          <w:w w:val="105"/>
          <w:sz w:val="24"/>
          <w:szCs w:val="24"/>
        </w:rPr>
        <w:t xml:space="preserve">sold to M/s </w:t>
      </w:r>
      <w:r w:rsidR="006D37FD" w:rsidRPr="004263A4">
        <w:rPr>
          <w:rFonts w:ascii="Book Antiqua" w:hAnsi="Book Antiqua"/>
          <w:spacing w:val="-3"/>
          <w:w w:val="105"/>
          <w:sz w:val="24"/>
          <w:szCs w:val="24"/>
        </w:rPr>
        <w:t>BSES Limited</w:t>
      </w:r>
      <w:r w:rsidR="00D92208" w:rsidRPr="004263A4">
        <w:rPr>
          <w:rFonts w:ascii="Book Antiqua" w:hAnsi="Book Antiqua"/>
          <w:spacing w:val="-3"/>
          <w:w w:val="105"/>
          <w:sz w:val="24"/>
          <w:szCs w:val="24"/>
        </w:rPr>
        <w:t xml:space="preserve"> </w:t>
      </w:r>
      <w:r w:rsidR="006D37FD" w:rsidRPr="004263A4">
        <w:rPr>
          <w:rFonts w:ascii="Book Antiqua" w:hAnsi="Book Antiqua"/>
          <w:spacing w:val="-3"/>
          <w:w w:val="105"/>
          <w:sz w:val="24"/>
          <w:szCs w:val="24"/>
        </w:rPr>
        <w:t xml:space="preserve">(now </w:t>
      </w:r>
      <w:r w:rsidR="00124D61" w:rsidRPr="004263A4">
        <w:rPr>
          <w:rFonts w:ascii="Book Antiqua" w:hAnsi="Book Antiqua"/>
          <w:spacing w:val="-3"/>
          <w:w w:val="105"/>
          <w:sz w:val="24"/>
          <w:szCs w:val="24"/>
        </w:rPr>
        <w:t>R</w:t>
      </w:r>
      <w:r w:rsidR="006D37FD" w:rsidRPr="004263A4">
        <w:rPr>
          <w:rFonts w:ascii="Book Antiqua" w:hAnsi="Book Antiqua"/>
          <w:spacing w:val="-3"/>
          <w:w w:val="105"/>
          <w:sz w:val="24"/>
          <w:szCs w:val="24"/>
        </w:rPr>
        <w:t>IL).</w:t>
      </w:r>
    </w:p>
    <w:p w14:paraId="45BEAC03" w14:textId="5D96C382" w:rsidR="00AA3797" w:rsidRPr="004263A4" w:rsidRDefault="00AA3797" w:rsidP="004263A4">
      <w:pPr>
        <w:widowControl w:val="0"/>
        <w:tabs>
          <w:tab w:val="left" w:pos="877"/>
          <w:tab w:val="left" w:pos="878"/>
        </w:tabs>
        <w:autoSpaceDE w:val="0"/>
        <w:autoSpaceDN w:val="0"/>
        <w:spacing w:before="126" w:after="0" w:line="360" w:lineRule="auto"/>
        <w:jc w:val="both"/>
        <w:rPr>
          <w:rFonts w:ascii="Book Antiqua" w:hAnsi="Book Antiqua"/>
          <w:b/>
          <w:bCs/>
          <w:sz w:val="24"/>
          <w:szCs w:val="24"/>
          <w:u w:val="single"/>
        </w:rPr>
      </w:pPr>
      <w:r w:rsidRPr="004263A4">
        <w:rPr>
          <w:rFonts w:ascii="Book Antiqua" w:hAnsi="Book Antiqua"/>
          <w:b/>
          <w:bCs/>
          <w:spacing w:val="-3"/>
          <w:w w:val="105"/>
          <w:sz w:val="24"/>
          <w:szCs w:val="24"/>
          <w:u w:val="single"/>
        </w:rPr>
        <w:t>Post-Reform Scenario</w:t>
      </w:r>
    </w:p>
    <w:p w14:paraId="576ACA5B" w14:textId="6D0FBCF7" w:rsidR="00124D61" w:rsidRPr="004263A4" w:rsidRDefault="00124D61" w:rsidP="004263A4">
      <w:pPr>
        <w:widowControl w:val="0"/>
        <w:tabs>
          <w:tab w:val="left" w:pos="877"/>
          <w:tab w:val="left" w:pos="878"/>
        </w:tabs>
        <w:autoSpaceDE w:val="0"/>
        <w:autoSpaceDN w:val="0"/>
        <w:spacing w:before="126" w:after="0" w:line="360" w:lineRule="auto"/>
        <w:jc w:val="both"/>
        <w:rPr>
          <w:rFonts w:ascii="Book Antiqua" w:hAnsi="Book Antiqua"/>
          <w:spacing w:val="-3"/>
          <w:w w:val="105"/>
          <w:sz w:val="24"/>
          <w:szCs w:val="24"/>
        </w:rPr>
      </w:pPr>
      <w:r w:rsidRPr="004263A4">
        <w:rPr>
          <w:rFonts w:ascii="Book Antiqua" w:hAnsi="Book Antiqua"/>
          <w:spacing w:val="-3"/>
          <w:w w:val="105"/>
          <w:sz w:val="24"/>
          <w:szCs w:val="24"/>
        </w:rPr>
        <w:t>On 04.03.2015, OERC revoked the license of the WESCO Ltd. under the provisions of Section 19 of the Electricity Act, 2003, in Case No.55 of 2013. OERC also appointed the C.M</w:t>
      </w:r>
      <w:r w:rsidR="00284BB3" w:rsidRPr="004263A4">
        <w:rPr>
          <w:rFonts w:ascii="Book Antiqua" w:hAnsi="Book Antiqua"/>
          <w:spacing w:val="-3"/>
          <w:w w:val="105"/>
          <w:sz w:val="24"/>
          <w:szCs w:val="24"/>
        </w:rPr>
        <w:t>.</w:t>
      </w:r>
      <w:r w:rsidRPr="004263A4">
        <w:rPr>
          <w:rFonts w:ascii="Book Antiqua" w:hAnsi="Book Antiqua"/>
          <w:spacing w:val="-3"/>
          <w:w w:val="105"/>
          <w:sz w:val="24"/>
          <w:szCs w:val="24"/>
        </w:rPr>
        <w:t xml:space="preserve">D, GRIDCO Ltd. as Administrator, under Section 20 (1) (d) of the Electricity Act, 2003, by transferring the rights, entitlement, interest and employees of the WESCO with the Administrator, w.e.f.04.03.2015. Subsequently by a transparent bidding process, State Commission took the initiative for sale of utility of WESCO and finally by virtue of the vesting order dated 28.12.2020, the license of WESCO was transferred to TPWODL w.e.f.01.01.2021.  </w:t>
      </w:r>
    </w:p>
    <w:p w14:paraId="6DABAB8E" w14:textId="7D6E6137" w:rsidR="006D37FD" w:rsidRPr="006D37FD" w:rsidRDefault="006D37FD" w:rsidP="008B38BE">
      <w:pPr>
        <w:spacing w:line="360" w:lineRule="auto"/>
        <w:jc w:val="both"/>
        <w:rPr>
          <w:rFonts w:ascii="Book Antiqua" w:hAnsi="Book Antiqua"/>
          <w:sz w:val="24"/>
          <w:szCs w:val="24"/>
        </w:rPr>
      </w:pPr>
      <w:r w:rsidRPr="006D37FD">
        <w:rPr>
          <w:rFonts w:ascii="Book Antiqua" w:hAnsi="Book Antiqua"/>
          <w:sz w:val="24"/>
          <w:szCs w:val="24"/>
        </w:rPr>
        <w:t xml:space="preserve"> </w:t>
      </w:r>
    </w:p>
    <w:sectPr w:rsidR="006D37FD" w:rsidRPr="006D3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3FDB"/>
    <w:multiLevelType w:val="hybridMultilevel"/>
    <w:tmpl w:val="80EEB55C"/>
    <w:lvl w:ilvl="0" w:tplc="A49A55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3DE67F8"/>
    <w:multiLevelType w:val="hybridMultilevel"/>
    <w:tmpl w:val="CEBC8CA4"/>
    <w:lvl w:ilvl="0" w:tplc="E4BC7C5A">
      <w:start w:val="1"/>
      <w:numFmt w:val="decimal"/>
      <w:lvlText w:val="%1."/>
      <w:lvlJc w:val="left"/>
      <w:pPr>
        <w:ind w:left="877" w:hanging="658"/>
        <w:jc w:val="right"/>
      </w:pPr>
      <w:rPr>
        <w:rFonts w:hint="default"/>
        <w:w w:val="102"/>
        <w:lang w:val="en-US" w:eastAsia="en-US" w:bidi="ar-SA"/>
      </w:rPr>
    </w:lvl>
    <w:lvl w:ilvl="1" w:tplc="FAB47A8E">
      <w:start w:val="1"/>
      <w:numFmt w:val="lowerLetter"/>
      <w:lvlText w:val="(%2)"/>
      <w:lvlJc w:val="left"/>
      <w:pPr>
        <w:ind w:left="1516" w:hanging="648"/>
      </w:pPr>
      <w:rPr>
        <w:rFonts w:hint="default"/>
        <w:spacing w:val="0"/>
        <w:w w:val="104"/>
        <w:lang w:val="en-US" w:eastAsia="en-US" w:bidi="ar-SA"/>
      </w:rPr>
    </w:lvl>
    <w:lvl w:ilvl="2" w:tplc="19228EA0">
      <w:start w:val="1"/>
      <w:numFmt w:val="lowerLetter"/>
      <w:lvlText w:val="(%3)"/>
      <w:lvlJc w:val="left"/>
      <w:pPr>
        <w:ind w:left="1516" w:hanging="648"/>
      </w:pPr>
      <w:rPr>
        <w:rFonts w:ascii="Times New Roman" w:eastAsia="Times New Roman" w:hAnsi="Times New Roman" w:cs="Times New Roman" w:hint="default"/>
        <w:spacing w:val="0"/>
        <w:w w:val="102"/>
        <w:sz w:val="21"/>
        <w:szCs w:val="21"/>
        <w:lang w:val="en-US" w:eastAsia="en-US" w:bidi="ar-SA"/>
      </w:rPr>
    </w:lvl>
    <w:lvl w:ilvl="3" w:tplc="1784AA4C">
      <w:numFmt w:val="bullet"/>
      <w:lvlText w:val="•"/>
      <w:lvlJc w:val="left"/>
      <w:pPr>
        <w:ind w:left="2490" w:hanging="648"/>
      </w:pPr>
      <w:rPr>
        <w:rFonts w:hint="default"/>
        <w:lang w:val="en-US" w:eastAsia="en-US" w:bidi="ar-SA"/>
      </w:rPr>
    </w:lvl>
    <w:lvl w:ilvl="4" w:tplc="AC90967A">
      <w:numFmt w:val="bullet"/>
      <w:lvlText w:val="•"/>
      <w:lvlJc w:val="left"/>
      <w:pPr>
        <w:ind w:left="3440" w:hanging="648"/>
      </w:pPr>
      <w:rPr>
        <w:rFonts w:hint="default"/>
        <w:lang w:val="en-US" w:eastAsia="en-US" w:bidi="ar-SA"/>
      </w:rPr>
    </w:lvl>
    <w:lvl w:ilvl="5" w:tplc="6E70286A">
      <w:numFmt w:val="bullet"/>
      <w:lvlText w:val="•"/>
      <w:lvlJc w:val="left"/>
      <w:pPr>
        <w:ind w:left="4390" w:hanging="648"/>
      </w:pPr>
      <w:rPr>
        <w:rFonts w:hint="default"/>
        <w:lang w:val="en-US" w:eastAsia="en-US" w:bidi="ar-SA"/>
      </w:rPr>
    </w:lvl>
    <w:lvl w:ilvl="6" w:tplc="EF4CF9E8">
      <w:numFmt w:val="bullet"/>
      <w:lvlText w:val="•"/>
      <w:lvlJc w:val="left"/>
      <w:pPr>
        <w:ind w:left="5340" w:hanging="648"/>
      </w:pPr>
      <w:rPr>
        <w:rFonts w:hint="default"/>
        <w:lang w:val="en-US" w:eastAsia="en-US" w:bidi="ar-SA"/>
      </w:rPr>
    </w:lvl>
    <w:lvl w:ilvl="7" w:tplc="F2B00F98">
      <w:numFmt w:val="bullet"/>
      <w:lvlText w:val="•"/>
      <w:lvlJc w:val="left"/>
      <w:pPr>
        <w:ind w:left="6290" w:hanging="648"/>
      </w:pPr>
      <w:rPr>
        <w:rFonts w:hint="default"/>
        <w:lang w:val="en-US" w:eastAsia="en-US" w:bidi="ar-SA"/>
      </w:rPr>
    </w:lvl>
    <w:lvl w:ilvl="8" w:tplc="9CDAD5F8">
      <w:numFmt w:val="bullet"/>
      <w:lvlText w:val="•"/>
      <w:lvlJc w:val="left"/>
      <w:pPr>
        <w:ind w:left="7240" w:hanging="64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FD"/>
    <w:rsid w:val="00097CB6"/>
    <w:rsid w:val="00114AAA"/>
    <w:rsid w:val="00124D61"/>
    <w:rsid w:val="001426BE"/>
    <w:rsid w:val="00216C58"/>
    <w:rsid w:val="00284BB3"/>
    <w:rsid w:val="002E1CC3"/>
    <w:rsid w:val="003C4A0D"/>
    <w:rsid w:val="004263A4"/>
    <w:rsid w:val="00673B19"/>
    <w:rsid w:val="006D37FD"/>
    <w:rsid w:val="008A1156"/>
    <w:rsid w:val="008B38BE"/>
    <w:rsid w:val="008C3168"/>
    <w:rsid w:val="0099193B"/>
    <w:rsid w:val="00992DD8"/>
    <w:rsid w:val="00AA3797"/>
    <w:rsid w:val="00CB7EF8"/>
    <w:rsid w:val="00D47264"/>
    <w:rsid w:val="00D92208"/>
    <w:rsid w:val="00E31954"/>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7045"/>
  <w15:chartTrackingRefBased/>
  <w15:docId w15:val="{4A256EE9-9657-44E7-973A-44DBFFAF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7FD"/>
    <w:pPr>
      <w:spacing w:after="200" w:line="276" w:lineRule="auto"/>
      <w:ind w:left="720"/>
      <w:contextualSpacing/>
    </w:pPr>
    <w:rPr>
      <w:rFonts w:ascii="Calibri" w:eastAsia="Calibri"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Amaresh Bal</dc:creator>
  <cp:keywords/>
  <dc:description/>
  <cp:lastModifiedBy>Sitendra Patra</cp:lastModifiedBy>
  <cp:revision>15</cp:revision>
  <dcterms:created xsi:type="dcterms:W3CDTF">2021-08-18T04:51:00Z</dcterms:created>
  <dcterms:modified xsi:type="dcterms:W3CDTF">2025-04-18T05:47:00Z</dcterms:modified>
</cp:coreProperties>
</file>